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4A8F" w14:textId="77777777" w:rsidR="00446103" w:rsidRPr="00C27709" w:rsidRDefault="00F17C6A" w:rsidP="00C27709">
      <w:pPr>
        <w:pStyle w:val="NonHeading1"/>
      </w:pPr>
      <w:r>
        <w:t>VISITORS</w:t>
      </w:r>
      <w:r w:rsidR="00095BAF">
        <w:t xml:space="preserve"> PROCEDURE</w:t>
      </w:r>
    </w:p>
    <w:tbl>
      <w:tblPr>
        <w:tblStyle w:val="TableGrid"/>
        <w:tblW w:w="0" w:type="auto"/>
        <w:tblLook w:val="04A0" w:firstRow="1" w:lastRow="0" w:firstColumn="1" w:lastColumn="0" w:noHBand="0" w:noVBand="1"/>
      </w:tblPr>
      <w:tblGrid>
        <w:gridCol w:w="1501"/>
        <w:gridCol w:w="1269"/>
        <w:gridCol w:w="1402"/>
        <w:gridCol w:w="1403"/>
        <w:gridCol w:w="4053"/>
      </w:tblGrid>
      <w:tr w:rsidR="00446103" w14:paraId="7C68AB2A" w14:textId="77777777" w:rsidTr="008B6FEB">
        <w:tc>
          <w:tcPr>
            <w:tcW w:w="1526" w:type="dxa"/>
          </w:tcPr>
          <w:p w14:paraId="149734E1" w14:textId="77777777" w:rsidR="00446103" w:rsidRPr="00C27709" w:rsidRDefault="00446103" w:rsidP="00FD4252">
            <w:pPr>
              <w:spacing w:before="120" w:after="120" w:line="240" w:lineRule="auto"/>
              <w:rPr>
                <w:b/>
              </w:rPr>
            </w:pPr>
            <w:r w:rsidRPr="00C27709">
              <w:rPr>
                <w:b/>
              </w:rPr>
              <w:t>Version</w:t>
            </w:r>
          </w:p>
        </w:tc>
        <w:tc>
          <w:tcPr>
            <w:tcW w:w="1276" w:type="dxa"/>
          </w:tcPr>
          <w:p w14:paraId="07D468EB" w14:textId="77777777" w:rsidR="00446103" w:rsidRPr="00C27709" w:rsidRDefault="00446103" w:rsidP="00FD4252">
            <w:pPr>
              <w:spacing w:before="120" w:after="120" w:line="240" w:lineRule="auto"/>
              <w:rPr>
                <w:b/>
              </w:rPr>
            </w:pPr>
            <w:r w:rsidRPr="00C27709">
              <w:rPr>
                <w:b/>
              </w:rPr>
              <w:t>Issue Date</w:t>
            </w:r>
          </w:p>
        </w:tc>
        <w:tc>
          <w:tcPr>
            <w:tcW w:w="1417" w:type="dxa"/>
          </w:tcPr>
          <w:p w14:paraId="7AC9B64A" w14:textId="77777777" w:rsidR="00446103" w:rsidRPr="00C27709" w:rsidRDefault="00446103" w:rsidP="00FD4252">
            <w:pPr>
              <w:spacing w:before="120" w:after="120" w:line="240" w:lineRule="auto"/>
              <w:rPr>
                <w:b/>
              </w:rPr>
            </w:pPr>
            <w:r w:rsidRPr="00C27709">
              <w:rPr>
                <w:b/>
              </w:rPr>
              <w:t>Last Review</w:t>
            </w:r>
          </w:p>
        </w:tc>
        <w:tc>
          <w:tcPr>
            <w:tcW w:w="1418" w:type="dxa"/>
          </w:tcPr>
          <w:p w14:paraId="27633A8F" w14:textId="77777777" w:rsidR="00446103" w:rsidRPr="00C27709" w:rsidRDefault="00446103" w:rsidP="00FD4252">
            <w:pPr>
              <w:spacing w:before="120" w:after="120" w:line="240" w:lineRule="auto"/>
              <w:rPr>
                <w:b/>
              </w:rPr>
            </w:pPr>
            <w:r w:rsidRPr="00C27709">
              <w:rPr>
                <w:b/>
              </w:rPr>
              <w:t>Next Review</w:t>
            </w:r>
          </w:p>
        </w:tc>
        <w:tc>
          <w:tcPr>
            <w:tcW w:w="4217" w:type="dxa"/>
          </w:tcPr>
          <w:p w14:paraId="24CA353A" w14:textId="77777777" w:rsidR="00446103" w:rsidRPr="00C27709" w:rsidRDefault="00446103" w:rsidP="00FD4252">
            <w:pPr>
              <w:spacing w:before="120" w:after="120" w:line="240" w:lineRule="auto"/>
              <w:rPr>
                <w:b/>
              </w:rPr>
            </w:pPr>
            <w:r w:rsidRPr="00C27709">
              <w:rPr>
                <w:b/>
              </w:rPr>
              <w:t>Approved By</w:t>
            </w:r>
          </w:p>
        </w:tc>
      </w:tr>
      <w:tr w:rsidR="00446103" w14:paraId="0000F5BF" w14:textId="77777777" w:rsidTr="008B6FEB">
        <w:tc>
          <w:tcPr>
            <w:tcW w:w="1526" w:type="dxa"/>
          </w:tcPr>
          <w:p w14:paraId="567B53D5" w14:textId="5C1C5A82" w:rsidR="00446103" w:rsidRPr="00C27709" w:rsidRDefault="00F5658D" w:rsidP="00FD4252">
            <w:pPr>
              <w:spacing w:before="120" w:after="120" w:line="240" w:lineRule="auto"/>
              <w:rPr>
                <w:b/>
              </w:rPr>
            </w:pPr>
            <w:r>
              <w:rPr>
                <w:b/>
              </w:rPr>
              <w:t>4</w:t>
            </w:r>
          </w:p>
        </w:tc>
        <w:tc>
          <w:tcPr>
            <w:tcW w:w="1276" w:type="dxa"/>
          </w:tcPr>
          <w:p w14:paraId="544BE9AB" w14:textId="77777777" w:rsidR="00446103" w:rsidRDefault="00680D4F" w:rsidP="00FD4252">
            <w:pPr>
              <w:spacing w:before="120" w:after="120" w:line="240" w:lineRule="auto"/>
            </w:pPr>
            <w:r>
              <w:t>13.12.18</w:t>
            </w:r>
          </w:p>
        </w:tc>
        <w:tc>
          <w:tcPr>
            <w:tcW w:w="1417" w:type="dxa"/>
          </w:tcPr>
          <w:p w14:paraId="7F503669" w14:textId="396D95C5" w:rsidR="00446103" w:rsidRDefault="00F5658D" w:rsidP="00FD4252">
            <w:pPr>
              <w:spacing w:before="120" w:after="120" w:line="240" w:lineRule="auto"/>
            </w:pPr>
            <w:r>
              <w:t>21.09.22</w:t>
            </w:r>
          </w:p>
        </w:tc>
        <w:tc>
          <w:tcPr>
            <w:tcW w:w="1418" w:type="dxa"/>
          </w:tcPr>
          <w:p w14:paraId="43444C8F" w14:textId="74698461" w:rsidR="00446103" w:rsidRDefault="00C31EDD" w:rsidP="00FD4252">
            <w:pPr>
              <w:spacing w:before="120" w:after="120" w:line="240" w:lineRule="auto"/>
            </w:pPr>
            <w:r>
              <w:t>02.06.24</w:t>
            </w:r>
          </w:p>
        </w:tc>
        <w:tc>
          <w:tcPr>
            <w:tcW w:w="4217" w:type="dxa"/>
          </w:tcPr>
          <w:p w14:paraId="2E39F1E0" w14:textId="77AEAB7A" w:rsidR="00446103" w:rsidRDefault="00C31EDD" w:rsidP="00FD4252">
            <w:pPr>
              <w:spacing w:before="120" w:after="120" w:line="240" w:lineRule="auto"/>
            </w:pPr>
            <w:r>
              <w:t>Lindsay Fraser</w:t>
            </w:r>
          </w:p>
        </w:tc>
      </w:tr>
      <w:tr w:rsidR="00446103" w14:paraId="549BC3C5" w14:textId="77777777" w:rsidTr="008B6FEB">
        <w:tc>
          <w:tcPr>
            <w:tcW w:w="4219" w:type="dxa"/>
            <w:gridSpan w:val="3"/>
          </w:tcPr>
          <w:p w14:paraId="3FE04BEC" w14:textId="77777777" w:rsidR="00446103" w:rsidRPr="00C27709" w:rsidRDefault="00446103" w:rsidP="00FD4252">
            <w:pPr>
              <w:spacing w:before="120" w:after="120" w:line="240" w:lineRule="auto"/>
              <w:rPr>
                <w:b/>
              </w:rPr>
            </w:pPr>
            <w:r w:rsidRPr="00C27709">
              <w:rPr>
                <w:b/>
              </w:rPr>
              <w:t>Document Status</w:t>
            </w:r>
          </w:p>
        </w:tc>
        <w:tc>
          <w:tcPr>
            <w:tcW w:w="5635" w:type="dxa"/>
            <w:gridSpan w:val="2"/>
          </w:tcPr>
          <w:p w14:paraId="1ACD64AB" w14:textId="77777777" w:rsidR="00446103" w:rsidRPr="00C27709" w:rsidRDefault="00D4371E" w:rsidP="00FD4252">
            <w:pPr>
              <w:spacing w:before="120" w:after="120" w:line="240" w:lineRule="auto"/>
              <w:rPr>
                <w:b/>
                <w:color w:val="FF0000"/>
              </w:rPr>
            </w:pPr>
            <w:r>
              <w:rPr>
                <w:b/>
                <w:color w:val="FF0000"/>
              </w:rPr>
              <w:t>Approved</w:t>
            </w:r>
          </w:p>
        </w:tc>
      </w:tr>
    </w:tbl>
    <w:p w14:paraId="76B239A0" w14:textId="77777777" w:rsidR="00446103" w:rsidRDefault="00446103" w:rsidP="00A01746"/>
    <w:tbl>
      <w:tblPr>
        <w:tblStyle w:val="TableGrid"/>
        <w:tblW w:w="0" w:type="auto"/>
        <w:tblLook w:val="04A0" w:firstRow="1" w:lastRow="0" w:firstColumn="1" w:lastColumn="0" w:noHBand="0" w:noVBand="1"/>
      </w:tblPr>
      <w:tblGrid>
        <w:gridCol w:w="1443"/>
        <w:gridCol w:w="1284"/>
        <w:gridCol w:w="2552"/>
        <w:gridCol w:w="4349"/>
      </w:tblGrid>
      <w:tr w:rsidR="005031AA" w14:paraId="2F764078" w14:textId="77777777" w:rsidTr="00F72D8C">
        <w:tc>
          <w:tcPr>
            <w:tcW w:w="1506" w:type="dxa"/>
          </w:tcPr>
          <w:p w14:paraId="2E599FE5" w14:textId="77777777" w:rsidR="005031AA" w:rsidRPr="00C27709" w:rsidRDefault="005031AA" w:rsidP="00FD4252">
            <w:pPr>
              <w:spacing w:before="120" w:after="120" w:line="240" w:lineRule="auto"/>
              <w:rPr>
                <w:b/>
              </w:rPr>
            </w:pPr>
            <w:r w:rsidRPr="00C27709">
              <w:rPr>
                <w:b/>
              </w:rPr>
              <w:t>Version</w:t>
            </w:r>
          </w:p>
        </w:tc>
        <w:tc>
          <w:tcPr>
            <w:tcW w:w="1284" w:type="dxa"/>
          </w:tcPr>
          <w:p w14:paraId="3F57D5E7" w14:textId="77777777" w:rsidR="005031AA" w:rsidRPr="00C27709" w:rsidRDefault="005031AA" w:rsidP="00FD4252">
            <w:pPr>
              <w:spacing w:before="120" w:after="120" w:line="240" w:lineRule="auto"/>
              <w:rPr>
                <w:b/>
              </w:rPr>
            </w:pPr>
            <w:r w:rsidRPr="00C27709">
              <w:rPr>
                <w:b/>
              </w:rPr>
              <w:t>Date</w:t>
            </w:r>
          </w:p>
        </w:tc>
        <w:tc>
          <w:tcPr>
            <w:tcW w:w="2757" w:type="dxa"/>
          </w:tcPr>
          <w:p w14:paraId="27B5E439" w14:textId="77777777" w:rsidR="005031AA" w:rsidRPr="00C27709" w:rsidRDefault="005031AA" w:rsidP="00FD4252">
            <w:pPr>
              <w:spacing w:before="120" w:after="120" w:line="240" w:lineRule="auto"/>
              <w:rPr>
                <w:b/>
              </w:rPr>
            </w:pPr>
            <w:r w:rsidRPr="00C27709">
              <w:rPr>
                <w:b/>
              </w:rPr>
              <w:t>Author</w:t>
            </w:r>
          </w:p>
        </w:tc>
        <w:tc>
          <w:tcPr>
            <w:tcW w:w="4081" w:type="dxa"/>
          </w:tcPr>
          <w:p w14:paraId="0801285E" w14:textId="77777777" w:rsidR="005031AA" w:rsidRPr="00C27709" w:rsidRDefault="005031AA" w:rsidP="00FD4252">
            <w:pPr>
              <w:spacing w:before="120" w:after="120" w:line="240" w:lineRule="auto"/>
              <w:rPr>
                <w:b/>
              </w:rPr>
            </w:pPr>
            <w:r w:rsidRPr="00C27709">
              <w:rPr>
                <w:b/>
              </w:rPr>
              <w:t>Review Details</w:t>
            </w:r>
          </w:p>
        </w:tc>
      </w:tr>
      <w:tr w:rsidR="00F5658D" w14:paraId="588072D3" w14:textId="77777777" w:rsidTr="00F72D8C">
        <w:tc>
          <w:tcPr>
            <w:tcW w:w="1506" w:type="dxa"/>
          </w:tcPr>
          <w:p w14:paraId="7811E6E9" w14:textId="52C1FFF0" w:rsidR="00F5658D" w:rsidRDefault="00F5658D" w:rsidP="00FD4252">
            <w:pPr>
              <w:spacing w:before="120" w:after="120" w:line="240" w:lineRule="auto"/>
            </w:pPr>
            <w:r>
              <w:t>4</w:t>
            </w:r>
          </w:p>
        </w:tc>
        <w:tc>
          <w:tcPr>
            <w:tcW w:w="1284" w:type="dxa"/>
          </w:tcPr>
          <w:p w14:paraId="61D47E77" w14:textId="084BD208" w:rsidR="00F5658D" w:rsidRDefault="00F5658D" w:rsidP="00FD4252">
            <w:pPr>
              <w:spacing w:before="120" w:after="120" w:line="240" w:lineRule="auto"/>
            </w:pPr>
            <w:r>
              <w:t>21.09.22</w:t>
            </w:r>
          </w:p>
        </w:tc>
        <w:tc>
          <w:tcPr>
            <w:tcW w:w="2757" w:type="dxa"/>
          </w:tcPr>
          <w:p w14:paraId="300484F5" w14:textId="380195B3" w:rsidR="00F5658D" w:rsidRDefault="00F5658D" w:rsidP="00C31EDD">
            <w:pPr>
              <w:spacing w:before="120" w:after="120" w:line="240" w:lineRule="auto"/>
              <w:jc w:val="left"/>
            </w:pPr>
            <w:r>
              <w:t>Susan Barclay</w:t>
            </w:r>
          </w:p>
        </w:tc>
        <w:tc>
          <w:tcPr>
            <w:tcW w:w="4081" w:type="dxa"/>
          </w:tcPr>
          <w:p w14:paraId="01C96347" w14:textId="77777777" w:rsidR="00F5658D" w:rsidRDefault="00F5658D" w:rsidP="00FD4252">
            <w:pPr>
              <w:spacing w:before="120" w:after="120" w:line="240" w:lineRule="auto"/>
              <w:rPr>
                <w:sz w:val="22"/>
                <w:szCs w:val="22"/>
              </w:rPr>
            </w:pPr>
            <w:r>
              <w:rPr>
                <w:sz w:val="22"/>
                <w:szCs w:val="22"/>
              </w:rPr>
              <w:t>Changes in relation to:</w:t>
            </w:r>
          </w:p>
          <w:p w14:paraId="518B1753" w14:textId="77777777" w:rsidR="00F5658D" w:rsidRDefault="00F5658D" w:rsidP="00F5658D">
            <w:pPr>
              <w:pStyle w:val="ListParagraph"/>
              <w:numPr>
                <w:ilvl w:val="0"/>
                <w:numId w:val="19"/>
              </w:numPr>
              <w:spacing w:before="120" w:after="120" w:line="240" w:lineRule="auto"/>
              <w:rPr>
                <w:sz w:val="22"/>
                <w:szCs w:val="22"/>
              </w:rPr>
            </w:pPr>
            <w:r>
              <w:rPr>
                <w:sz w:val="22"/>
                <w:szCs w:val="22"/>
              </w:rPr>
              <w:t>Pausing of asymptomatic testing</w:t>
            </w:r>
          </w:p>
          <w:p w14:paraId="386D69CB" w14:textId="7169B337" w:rsidR="00F5658D" w:rsidRPr="00C21782" w:rsidRDefault="00F5658D" w:rsidP="00C21782">
            <w:pPr>
              <w:pStyle w:val="ListParagraph"/>
              <w:numPr>
                <w:ilvl w:val="0"/>
                <w:numId w:val="19"/>
              </w:numPr>
              <w:spacing w:before="120" w:after="120" w:line="240" w:lineRule="auto"/>
              <w:rPr>
                <w:sz w:val="22"/>
                <w:szCs w:val="22"/>
              </w:rPr>
            </w:pPr>
            <w:r>
              <w:rPr>
                <w:sz w:val="22"/>
                <w:szCs w:val="22"/>
              </w:rPr>
              <w:t xml:space="preserve">Requirement to wear face masks </w:t>
            </w:r>
          </w:p>
        </w:tc>
      </w:tr>
      <w:tr w:rsidR="00C31EDD" w14:paraId="1C601391" w14:textId="77777777" w:rsidTr="00F72D8C">
        <w:tc>
          <w:tcPr>
            <w:tcW w:w="1506" w:type="dxa"/>
          </w:tcPr>
          <w:p w14:paraId="4DDE044A" w14:textId="2CDB633D" w:rsidR="00C31EDD" w:rsidRDefault="00C31EDD" w:rsidP="00FD4252">
            <w:pPr>
              <w:spacing w:before="120" w:after="120" w:line="240" w:lineRule="auto"/>
            </w:pPr>
            <w:r>
              <w:t>3</w:t>
            </w:r>
          </w:p>
        </w:tc>
        <w:tc>
          <w:tcPr>
            <w:tcW w:w="1284" w:type="dxa"/>
          </w:tcPr>
          <w:p w14:paraId="595773A2" w14:textId="2D2F56A2" w:rsidR="00C31EDD" w:rsidRDefault="00C31EDD" w:rsidP="00FD4252">
            <w:pPr>
              <w:spacing w:before="120" w:after="120" w:line="240" w:lineRule="auto"/>
            </w:pPr>
            <w:r>
              <w:t>02.06.22</w:t>
            </w:r>
          </w:p>
        </w:tc>
        <w:tc>
          <w:tcPr>
            <w:tcW w:w="2757" w:type="dxa"/>
          </w:tcPr>
          <w:p w14:paraId="0AFBE526" w14:textId="446D4F5A" w:rsidR="00C31EDD" w:rsidRDefault="00C31EDD" w:rsidP="00C31EDD">
            <w:pPr>
              <w:spacing w:before="120" w:after="120" w:line="240" w:lineRule="auto"/>
              <w:jc w:val="left"/>
            </w:pPr>
            <w:r>
              <w:t>John MacDonald / Susan Barclay</w:t>
            </w:r>
          </w:p>
        </w:tc>
        <w:tc>
          <w:tcPr>
            <w:tcW w:w="4081" w:type="dxa"/>
          </w:tcPr>
          <w:p w14:paraId="7683771D" w14:textId="77777777" w:rsidR="00C31EDD" w:rsidRPr="00330F11" w:rsidRDefault="00C31EDD" w:rsidP="00FD4252">
            <w:pPr>
              <w:spacing w:before="120" w:after="120" w:line="240" w:lineRule="auto"/>
              <w:rPr>
                <w:sz w:val="22"/>
                <w:szCs w:val="22"/>
              </w:rPr>
            </w:pPr>
            <w:r w:rsidRPr="00330F11">
              <w:rPr>
                <w:sz w:val="22"/>
                <w:szCs w:val="22"/>
              </w:rPr>
              <w:t>Amalgamate with PRO-HS-111 COVID-19 Visitors Protocol</w:t>
            </w:r>
          </w:p>
          <w:p w14:paraId="0568382E" w14:textId="77777777" w:rsidR="00C31EDD" w:rsidRPr="00330F11" w:rsidRDefault="00C31EDD" w:rsidP="00FD4252">
            <w:pPr>
              <w:spacing w:before="120" w:after="120" w:line="240" w:lineRule="auto"/>
            </w:pPr>
            <w:r w:rsidRPr="00330F11">
              <w:rPr>
                <w:sz w:val="22"/>
                <w:szCs w:val="22"/>
              </w:rPr>
              <w:t>Significant changes relate to the addition of</w:t>
            </w:r>
            <w:r w:rsidRPr="00330F11">
              <w:t>:</w:t>
            </w:r>
          </w:p>
          <w:p w14:paraId="1AB209F2" w14:textId="2564C56C" w:rsidR="00A810A6" w:rsidRPr="00330F11" w:rsidRDefault="00C31EDD" w:rsidP="00330F11">
            <w:pPr>
              <w:pStyle w:val="ListParagraph"/>
              <w:numPr>
                <w:ilvl w:val="0"/>
                <w:numId w:val="17"/>
              </w:numPr>
              <w:tabs>
                <w:tab w:val="left" w:pos="300"/>
              </w:tabs>
              <w:spacing w:before="120" w:after="120" w:line="240" w:lineRule="auto"/>
              <w:ind w:left="241" w:hanging="241"/>
              <w:jc w:val="left"/>
              <w:rPr>
                <w:sz w:val="22"/>
                <w:szCs w:val="22"/>
              </w:rPr>
            </w:pPr>
            <w:r w:rsidRPr="00330F11">
              <w:rPr>
                <w:sz w:val="22"/>
                <w:szCs w:val="22"/>
              </w:rPr>
              <w:t>Addition of two new standards into the Health and Social Care Standards bringing Anne’s Law</w:t>
            </w:r>
            <w:r w:rsidR="00536977" w:rsidRPr="00330F11">
              <w:rPr>
                <w:sz w:val="22"/>
                <w:szCs w:val="22"/>
              </w:rPr>
              <w:t xml:space="preserve"> into practical effect setting out the expectation that people living in care homes should have the right to see someone who is dear to them, even during a Covid-19 outbreak</w:t>
            </w:r>
          </w:p>
          <w:p w14:paraId="25F67C8E" w14:textId="77777777" w:rsidR="00714E12" w:rsidRPr="00330F11" w:rsidRDefault="00714E12" w:rsidP="00714E12">
            <w:pPr>
              <w:pStyle w:val="ListParagraph"/>
              <w:tabs>
                <w:tab w:val="left" w:pos="300"/>
              </w:tabs>
              <w:spacing w:before="120" w:after="120" w:line="240" w:lineRule="auto"/>
              <w:ind w:left="158" w:hanging="241"/>
              <w:jc w:val="left"/>
              <w:rPr>
                <w:rStyle w:val="Hyperlink"/>
                <w:color w:val="0033CC"/>
                <w:sz w:val="22"/>
                <w:szCs w:val="22"/>
                <w:u w:val="none"/>
              </w:rPr>
            </w:pPr>
          </w:p>
          <w:p w14:paraId="5F8A4827" w14:textId="2303F16A" w:rsidR="00A810A6" w:rsidRPr="00330F11" w:rsidRDefault="00A1114A" w:rsidP="00536977">
            <w:pPr>
              <w:pStyle w:val="ListParagraph"/>
              <w:tabs>
                <w:tab w:val="left" w:pos="300"/>
              </w:tabs>
              <w:spacing w:before="120" w:after="120" w:line="240" w:lineRule="auto"/>
              <w:ind w:left="121" w:firstLine="37"/>
              <w:jc w:val="left"/>
              <w:rPr>
                <w:rStyle w:val="Hyperlink"/>
                <w:color w:val="0033CC"/>
                <w:sz w:val="22"/>
                <w:szCs w:val="22"/>
                <w:u w:val="none"/>
              </w:rPr>
            </w:pPr>
            <w:hyperlink r:id="rId8" w:history="1">
              <w:r w:rsidR="00330F11" w:rsidRPr="00330F11">
                <w:rPr>
                  <w:rStyle w:val="Hyperlink"/>
                  <w:color w:val="0033CC"/>
                  <w:sz w:val="22"/>
                  <w:szCs w:val="22"/>
                  <w:u w:val="none"/>
                </w:rPr>
                <w:t>https://www.gov.scot/publications/health-social-care-standards-support-life/</w:t>
              </w:r>
            </w:hyperlink>
          </w:p>
          <w:p w14:paraId="238F6F0A" w14:textId="695121C8" w:rsidR="00330F11" w:rsidRPr="00330F11" w:rsidRDefault="00330F11" w:rsidP="00536977">
            <w:pPr>
              <w:pStyle w:val="ListParagraph"/>
              <w:tabs>
                <w:tab w:val="left" w:pos="300"/>
              </w:tabs>
              <w:spacing w:before="120" w:after="120" w:line="240" w:lineRule="auto"/>
              <w:ind w:left="121" w:hanging="241"/>
              <w:jc w:val="left"/>
              <w:rPr>
                <w:rStyle w:val="Hyperlink"/>
                <w:color w:val="auto"/>
                <w:sz w:val="22"/>
                <w:szCs w:val="22"/>
                <w:u w:val="none"/>
              </w:rPr>
            </w:pPr>
          </w:p>
          <w:p w14:paraId="6889F149" w14:textId="1677E67A" w:rsidR="00330F11" w:rsidRPr="00330F11" w:rsidRDefault="00330F11" w:rsidP="00330F11">
            <w:pPr>
              <w:pStyle w:val="ListParagraph"/>
              <w:numPr>
                <w:ilvl w:val="0"/>
                <w:numId w:val="17"/>
              </w:numPr>
              <w:spacing w:before="120" w:after="120" w:line="240" w:lineRule="auto"/>
              <w:ind w:left="286" w:hanging="283"/>
              <w:jc w:val="left"/>
              <w:rPr>
                <w:rStyle w:val="Hyperlink"/>
                <w:color w:val="auto"/>
                <w:sz w:val="22"/>
                <w:szCs w:val="22"/>
                <w:u w:val="none"/>
              </w:rPr>
            </w:pPr>
            <w:r w:rsidRPr="00330F11">
              <w:rPr>
                <w:rStyle w:val="Hyperlink"/>
                <w:color w:val="auto"/>
                <w:sz w:val="22"/>
                <w:szCs w:val="22"/>
                <w:u w:val="none"/>
              </w:rPr>
              <w:t xml:space="preserve">Visitors Checklist and the importance of recording of all visitors to service </w:t>
            </w:r>
          </w:p>
          <w:p w14:paraId="7C92875E" w14:textId="246C5660" w:rsidR="00AB16AA" w:rsidRPr="00330F11" w:rsidRDefault="00AB16AA" w:rsidP="00536977">
            <w:pPr>
              <w:pStyle w:val="ListParagraph"/>
              <w:tabs>
                <w:tab w:val="left" w:pos="300"/>
              </w:tabs>
              <w:spacing w:before="120" w:after="120" w:line="240" w:lineRule="auto"/>
              <w:ind w:left="158"/>
              <w:jc w:val="left"/>
              <w:rPr>
                <w:sz w:val="22"/>
                <w:szCs w:val="22"/>
              </w:rPr>
            </w:pPr>
          </w:p>
        </w:tc>
      </w:tr>
      <w:tr w:rsidR="005031AA" w14:paraId="3F431D80" w14:textId="77777777" w:rsidTr="00F72D8C">
        <w:tc>
          <w:tcPr>
            <w:tcW w:w="1506" w:type="dxa"/>
          </w:tcPr>
          <w:p w14:paraId="6693F669" w14:textId="77777777" w:rsidR="005031AA" w:rsidRDefault="00680D4F" w:rsidP="00FD4252">
            <w:pPr>
              <w:spacing w:before="120" w:after="120" w:line="240" w:lineRule="auto"/>
            </w:pPr>
            <w:r>
              <w:t>2</w:t>
            </w:r>
          </w:p>
        </w:tc>
        <w:tc>
          <w:tcPr>
            <w:tcW w:w="1284" w:type="dxa"/>
          </w:tcPr>
          <w:p w14:paraId="55610A89" w14:textId="77777777" w:rsidR="005031AA" w:rsidRDefault="00680D4F" w:rsidP="00FD4252">
            <w:pPr>
              <w:spacing w:before="120" w:after="120" w:line="240" w:lineRule="auto"/>
            </w:pPr>
            <w:r>
              <w:t>13.112.18</w:t>
            </w:r>
          </w:p>
        </w:tc>
        <w:tc>
          <w:tcPr>
            <w:tcW w:w="2757" w:type="dxa"/>
          </w:tcPr>
          <w:p w14:paraId="06DE154C" w14:textId="77777777" w:rsidR="005031AA" w:rsidRDefault="00680D4F" w:rsidP="00FD4252">
            <w:pPr>
              <w:spacing w:before="120" w:after="120" w:line="240" w:lineRule="auto"/>
            </w:pPr>
            <w:r>
              <w:t>Sarah Smith</w:t>
            </w:r>
          </w:p>
        </w:tc>
        <w:tc>
          <w:tcPr>
            <w:tcW w:w="4081" w:type="dxa"/>
          </w:tcPr>
          <w:p w14:paraId="10E3AAD3" w14:textId="77777777" w:rsidR="00F72D8C" w:rsidRDefault="00F72D8C" w:rsidP="00FD4252">
            <w:pPr>
              <w:spacing w:before="120" w:after="120" w:line="240" w:lineRule="auto"/>
            </w:pPr>
            <w:r>
              <w:t>Health and Social Care Standards updated in Introduction</w:t>
            </w:r>
          </w:p>
          <w:p w14:paraId="091D2C8F" w14:textId="3500AA78" w:rsidR="005031AA" w:rsidRDefault="00680D4F" w:rsidP="00FD4252">
            <w:pPr>
              <w:spacing w:before="120" w:after="120" w:line="240" w:lineRule="auto"/>
            </w:pPr>
            <w:r>
              <w:t>Section on Different Types of Vis</w:t>
            </w:r>
            <w:r w:rsidR="00DB1D71">
              <w:t>i</w:t>
            </w:r>
            <w:r>
              <w:t>tors expanded</w:t>
            </w:r>
          </w:p>
        </w:tc>
      </w:tr>
      <w:tr w:rsidR="00680D4F" w14:paraId="2D9681D3" w14:textId="77777777" w:rsidTr="00F72D8C">
        <w:tc>
          <w:tcPr>
            <w:tcW w:w="1506" w:type="dxa"/>
          </w:tcPr>
          <w:p w14:paraId="0CCF9025" w14:textId="77777777" w:rsidR="00680D4F" w:rsidRDefault="00680D4F" w:rsidP="00680D4F">
            <w:pPr>
              <w:spacing w:before="120" w:after="120" w:line="240" w:lineRule="auto"/>
            </w:pPr>
            <w:r>
              <w:t>1</w:t>
            </w:r>
          </w:p>
        </w:tc>
        <w:tc>
          <w:tcPr>
            <w:tcW w:w="1284" w:type="dxa"/>
          </w:tcPr>
          <w:p w14:paraId="11D98A5A" w14:textId="77777777" w:rsidR="00680D4F" w:rsidRDefault="00680D4F" w:rsidP="00680D4F">
            <w:pPr>
              <w:spacing w:before="120" w:after="120" w:line="240" w:lineRule="auto"/>
            </w:pPr>
            <w:r>
              <w:t>11.04.16</w:t>
            </w:r>
          </w:p>
        </w:tc>
        <w:tc>
          <w:tcPr>
            <w:tcW w:w="2757" w:type="dxa"/>
          </w:tcPr>
          <w:p w14:paraId="619D46EE" w14:textId="77777777" w:rsidR="00680D4F" w:rsidRDefault="00680D4F" w:rsidP="00680D4F">
            <w:pPr>
              <w:spacing w:before="120" w:after="120" w:line="240" w:lineRule="auto"/>
            </w:pPr>
            <w:r>
              <w:t>Wendy McManus</w:t>
            </w:r>
          </w:p>
        </w:tc>
        <w:tc>
          <w:tcPr>
            <w:tcW w:w="4081" w:type="dxa"/>
          </w:tcPr>
          <w:p w14:paraId="69B7070E" w14:textId="77777777" w:rsidR="00680D4F" w:rsidRDefault="00680D4F" w:rsidP="00680D4F">
            <w:pPr>
              <w:spacing w:before="120" w:after="120" w:line="240" w:lineRule="auto"/>
            </w:pPr>
            <w:r>
              <w:t>Issued with new DMS</w:t>
            </w:r>
          </w:p>
        </w:tc>
      </w:tr>
    </w:tbl>
    <w:p w14:paraId="2A42AD1C" w14:textId="77777777" w:rsidR="005031AA" w:rsidRDefault="005031AA" w:rsidP="00A01746"/>
    <w:tbl>
      <w:tblPr>
        <w:tblStyle w:val="TableGrid"/>
        <w:tblW w:w="0" w:type="auto"/>
        <w:tblLook w:val="04A0" w:firstRow="1" w:lastRow="0" w:firstColumn="1" w:lastColumn="0" w:noHBand="0" w:noVBand="1"/>
      </w:tblPr>
      <w:tblGrid>
        <w:gridCol w:w="1319"/>
        <w:gridCol w:w="2063"/>
        <w:gridCol w:w="6246"/>
      </w:tblGrid>
      <w:tr w:rsidR="005B40F8" w14:paraId="5E5623C6" w14:textId="77777777" w:rsidTr="00D03348">
        <w:tc>
          <w:tcPr>
            <w:tcW w:w="9628" w:type="dxa"/>
            <w:gridSpan w:val="3"/>
          </w:tcPr>
          <w:p w14:paraId="3715E745" w14:textId="77777777" w:rsidR="005B40F8" w:rsidRPr="00C27709" w:rsidRDefault="00EE5C9C" w:rsidP="00FD4252">
            <w:pPr>
              <w:spacing w:before="120" w:after="120" w:line="240" w:lineRule="auto"/>
              <w:rPr>
                <w:b/>
              </w:rPr>
            </w:pPr>
            <w:r w:rsidRPr="00C27709">
              <w:rPr>
                <w:b/>
              </w:rPr>
              <w:t>Associated Documents</w:t>
            </w:r>
          </w:p>
        </w:tc>
      </w:tr>
      <w:tr w:rsidR="005B40F8" w14:paraId="2757F31A" w14:textId="77777777" w:rsidTr="00D03348">
        <w:tc>
          <w:tcPr>
            <w:tcW w:w="1696" w:type="dxa"/>
          </w:tcPr>
          <w:p w14:paraId="29A74E61" w14:textId="77777777" w:rsidR="005B40F8" w:rsidRPr="00C27709" w:rsidRDefault="005B40F8" w:rsidP="00FD4252">
            <w:pPr>
              <w:spacing w:before="120" w:after="120" w:line="240" w:lineRule="auto"/>
              <w:rPr>
                <w:b/>
              </w:rPr>
            </w:pPr>
            <w:r w:rsidRPr="00C27709">
              <w:rPr>
                <w:b/>
              </w:rPr>
              <w:t>Ref</w:t>
            </w:r>
          </w:p>
        </w:tc>
        <w:tc>
          <w:tcPr>
            <w:tcW w:w="2457" w:type="dxa"/>
          </w:tcPr>
          <w:p w14:paraId="1276A4DA" w14:textId="77777777" w:rsidR="005B40F8" w:rsidRPr="00C27709" w:rsidRDefault="005B40F8" w:rsidP="00FD4252">
            <w:pPr>
              <w:spacing w:before="120" w:after="120" w:line="240" w:lineRule="auto"/>
              <w:rPr>
                <w:b/>
              </w:rPr>
            </w:pPr>
            <w:r w:rsidRPr="00C27709">
              <w:rPr>
                <w:b/>
              </w:rPr>
              <w:t>Document Type</w:t>
            </w:r>
          </w:p>
        </w:tc>
        <w:tc>
          <w:tcPr>
            <w:tcW w:w="5475" w:type="dxa"/>
          </w:tcPr>
          <w:p w14:paraId="6C9EE8DA" w14:textId="77777777" w:rsidR="005B40F8" w:rsidRPr="00C27709" w:rsidRDefault="005B40F8" w:rsidP="00FD4252">
            <w:pPr>
              <w:spacing w:before="120" w:after="120" w:line="240" w:lineRule="auto"/>
              <w:rPr>
                <w:b/>
              </w:rPr>
            </w:pPr>
            <w:r w:rsidRPr="00C27709">
              <w:rPr>
                <w:b/>
              </w:rPr>
              <w:t>Title</w:t>
            </w:r>
          </w:p>
        </w:tc>
      </w:tr>
      <w:tr w:rsidR="00BE67A4" w14:paraId="1ECF9D52" w14:textId="77777777" w:rsidTr="00D03348">
        <w:tc>
          <w:tcPr>
            <w:tcW w:w="1696" w:type="dxa"/>
          </w:tcPr>
          <w:p w14:paraId="5FD1DC7B" w14:textId="69CBC048" w:rsidR="00BE67A4" w:rsidRDefault="00BE67A4" w:rsidP="000F6E73">
            <w:pPr>
              <w:spacing w:before="120" w:after="120" w:line="240" w:lineRule="auto"/>
            </w:pPr>
            <w:r>
              <w:t>FRM-HS-32</w:t>
            </w:r>
          </w:p>
        </w:tc>
        <w:tc>
          <w:tcPr>
            <w:tcW w:w="2457" w:type="dxa"/>
          </w:tcPr>
          <w:p w14:paraId="1104350D" w14:textId="45CF590A" w:rsidR="00BE67A4" w:rsidRDefault="00BE67A4" w:rsidP="000F6E73">
            <w:pPr>
              <w:spacing w:before="120" w:after="120" w:line="240" w:lineRule="auto"/>
            </w:pPr>
            <w:r>
              <w:t xml:space="preserve">Form </w:t>
            </w:r>
          </w:p>
        </w:tc>
        <w:tc>
          <w:tcPr>
            <w:tcW w:w="5475" w:type="dxa"/>
          </w:tcPr>
          <w:p w14:paraId="6973E972" w14:textId="1ADFD4E9" w:rsidR="00BE67A4" w:rsidRDefault="00965D0D" w:rsidP="000F6E73">
            <w:pPr>
              <w:spacing w:before="120" w:after="120" w:line="240" w:lineRule="auto"/>
            </w:pPr>
            <w:r>
              <w:t>Risk Profiling and Assessment for People we Support – Sample Indoor Visits with Family / Friends</w:t>
            </w:r>
          </w:p>
        </w:tc>
      </w:tr>
      <w:tr w:rsidR="00BE67A4" w14:paraId="36C167F6" w14:textId="77777777" w:rsidTr="00D03348">
        <w:tc>
          <w:tcPr>
            <w:tcW w:w="1696" w:type="dxa"/>
          </w:tcPr>
          <w:p w14:paraId="234A8D48" w14:textId="21820B5E" w:rsidR="00BE67A4" w:rsidRDefault="00965D0D" w:rsidP="000F6E73">
            <w:pPr>
              <w:spacing w:before="120" w:after="120" w:line="240" w:lineRule="auto"/>
            </w:pPr>
            <w:r>
              <w:t>FRM-OP-185</w:t>
            </w:r>
          </w:p>
        </w:tc>
        <w:tc>
          <w:tcPr>
            <w:tcW w:w="2457" w:type="dxa"/>
          </w:tcPr>
          <w:p w14:paraId="7E1AD905" w14:textId="53BF0002" w:rsidR="00BE67A4" w:rsidRDefault="00965D0D" w:rsidP="000F6E73">
            <w:pPr>
              <w:spacing w:before="120" w:after="120" w:line="240" w:lineRule="auto"/>
            </w:pPr>
            <w:r>
              <w:t>Form</w:t>
            </w:r>
          </w:p>
        </w:tc>
        <w:tc>
          <w:tcPr>
            <w:tcW w:w="5475" w:type="dxa"/>
          </w:tcPr>
          <w:p w14:paraId="67049B29" w14:textId="67C4CDD4" w:rsidR="00BE67A4" w:rsidRDefault="00965D0D" w:rsidP="000F6E73">
            <w:pPr>
              <w:spacing w:before="120" w:after="120" w:line="240" w:lineRule="auto"/>
            </w:pPr>
            <w:r>
              <w:t>Living My Life Activity Plan</w:t>
            </w:r>
          </w:p>
        </w:tc>
      </w:tr>
      <w:tr w:rsidR="00714E12" w14:paraId="25B761A2" w14:textId="77777777" w:rsidTr="00D03348">
        <w:tc>
          <w:tcPr>
            <w:tcW w:w="1696" w:type="dxa"/>
          </w:tcPr>
          <w:p w14:paraId="36FD25B2" w14:textId="628157B7" w:rsidR="00714E12" w:rsidRDefault="00714E12" w:rsidP="000F6E73">
            <w:pPr>
              <w:spacing w:before="120" w:after="120" w:line="240" w:lineRule="auto"/>
            </w:pPr>
            <w:r>
              <w:t>FRM-HS-339</w:t>
            </w:r>
          </w:p>
        </w:tc>
        <w:tc>
          <w:tcPr>
            <w:tcW w:w="2457" w:type="dxa"/>
          </w:tcPr>
          <w:p w14:paraId="289BFD59" w14:textId="33A107C6" w:rsidR="00714E12" w:rsidRDefault="00714E12" w:rsidP="000F6E73">
            <w:pPr>
              <w:spacing w:before="120" w:after="120" w:line="240" w:lineRule="auto"/>
            </w:pPr>
            <w:r>
              <w:t>Form</w:t>
            </w:r>
          </w:p>
        </w:tc>
        <w:tc>
          <w:tcPr>
            <w:tcW w:w="5475" w:type="dxa"/>
          </w:tcPr>
          <w:p w14:paraId="03531774" w14:textId="6D9486A6" w:rsidR="00714E12" w:rsidRDefault="00714E12" w:rsidP="000F6E73">
            <w:pPr>
              <w:spacing w:before="120" w:after="120" w:line="240" w:lineRule="auto"/>
            </w:pPr>
            <w:r>
              <w:t>Visitors Checklist</w:t>
            </w:r>
          </w:p>
        </w:tc>
      </w:tr>
      <w:tr w:rsidR="000F6E73" w14:paraId="3A9EC171" w14:textId="77777777" w:rsidTr="00D03348">
        <w:tc>
          <w:tcPr>
            <w:tcW w:w="1696" w:type="dxa"/>
          </w:tcPr>
          <w:p w14:paraId="7415E251" w14:textId="77777777" w:rsidR="000F6E73" w:rsidRDefault="000F6E73" w:rsidP="000F6E73">
            <w:pPr>
              <w:spacing w:before="120" w:after="120" w:line="240" w:lineRule="auto"/>
            </w:pPr>
          </w:p>
        </w:tc>
        <w:tc>
          <w:tcPr>
            <w:tcW w:w="2457" w:type="dxa"/>
          </w:tcPr>
          <w:p w14:paraId="06982E46" w14:textId="6B0A2AA2" w:rsidR="000F6E73" w:rsidRDefault="001A2131" w:rsidP="000F6E73">
            <w:pPr>
              <w:spacing w:before="120" w:after="120" w:line="240" w:lineRule="auto"/>
            </w:pPr>
            <w:r>
              <w:t xml:space="preserve">Scottish Government guidance </w:t>
            </w:r>
          </w:p>
        </w:tc>
        <w:tc>
          <w:tcPr>
            <w:tcW w:w="5475" w:type="dxa"/>
          </w:tcPr>
          <w:p w14:paraId="610CBC3F" w14:textId="216725AF" w:rsidR="000F6E73" w:rsidRDefault="00A1114A" w:rsidP="000F6E73">
            <w:pPr>
              <w:spacing w:before="120" w:after="120" w:line="240" w:lineRule="auto"/>
              <w:rPr>
                <w:rStyle w:val="Hyperlink"/>
              </w:rPr>
            </w:pPr>
            <w:hyperlink r:id="rId9" w:history="1">
              <w:r w:rsidR="001A2131" w:rsidRPr="00AC7A7A">
                <w:rPr>
                  <w:rStyle w:val="Hyperlink"/>
                </w:rPr>
                <w:t>https://www.gov.scot/publications/open-care-adult-care-home-visiting-leaflet/</w:t>
              </w:r>
            </w:hyperlink>
          </w:p>
          <w:p w14:paraId="55C9425D" w14:textId="1B32ABC9" w:rsidR="001A2131" w:rsidRDefault="00A1114A" w:rsidP="000F6E73">
            <w:pPr>
              <w:spacing w:before="120" w:after="120" w:line="240" w:lineRule="auto"/>
              <w:rPr>
                <w:rStyle w:val="Hyperlink"/>
              </w:rPr>
            </w:pPr>
            <w:hyperlink r:id="rId10" w:history="1">
              <w:r w:rsidR="001A2131" w:rsidRPr="00AC7A7A">
                <w:rPr>
                  <w:rStyle w:val="Hyperlink"/>
                </w:rPr>
                <w:t>https://www.gov.scot/publications/open-care-adult-care-home-visiting-easy-read/</w:t>
              </w:r>
            </w:hyperlink>
          </w:p>
          <w:p w14:paraId="6AB275BC" w14:textId="77777777" w:rsidR="00D85E93" w:rsidRDefault="00D85E93" w:rsidP="00965D0D">
            <w:pPr>
              <w:spacing w:before="120" w:after="120" w:line="240" w:lineRule="auto"/>
            </w:pPr>
          </w:p>
          <w:p w14:paraId="256C519D" w14:textId="2346DFAF" w:rsidR="00D85E93" w:rsidRDefault="00A1114A" w:rsidP="00965D0D">
            <w:pPr>
              <w:spacing w:before="120" w:after="120" w:line="240" w:lineRule="auto"/>
            </w:pPr>
            <w:hyperlink r:id="rId11" w:history="1">
              <w:r w:rsidR="00D85E93" w:rsidRPr="00D1404A">
                <w:rPr>
                  <w:rStyle w:val="Hyperlink"/>
                </w:rPr>
                <w:t>https://www.publichealthscotland.scot/publications/covid-19-information-and-guidance-for-social-community-and-residential-care-settings/covid-19-information-and-guidance-for-social-community-and-residential-care-settings-version-23/</w:t>
              </w:r>
            </w:hyperlink>
          </w:p>
          <w:p w14:paraId="74CD0484" w14:textId="462C84AE" w:rsidR="00D85E93" w:rsidRDefault="00A1114A" w:rsidP="00965D0D">
            <w:pPr>
              <w:spacing w:before="120" w:after="120" w:line="240" w:lineRule="auto"/>
            </w:pPr>
            <w:hyperlink r:id="rId12" w:history="1">
              <w:r w:rsidR="00D85E93" w:rsidRPr="00D1404A">
                <w:rPr>
                  <w:rStyle w:val="Hyperlink"/>
                </w:rPr>
                <w:t>https://www.gov.scot/publications/coronavirus-covid-19-use-of-face-coverings-in-social-care-settings-including-adult-care-homes/pages/mask-wearing-guidance/</w:t>
              </w:r>
            </w:hyperlink>
          </w:p>
          <w:p w14:paraId="34EAD0F1" w14:textId="10C7B6BE" w:rsidR="009C6862" w:rsidRDefault="00A1114A" w:rsidP="00965D0D">
            <w:pPr>
              <w:spacing w:before="120" w:after="120" w:line="240" w:lineRule="auto"/>
            </w:pPr>
            <w:hyperlink r:id="rId13" w:history="1">
              <w:r w:rsidR="00B17336" w:rsidRPr="00013B91">
                <w:rPr>
                  <w:rStyle w:val="Hyperlink"/>
                </w:rPr>
                <w:t>https://www.gov.scot/publications/coronavirus-covid-19-social-care-testing-guidance/</w:t>
              </w:r>
            </w:hyperlink>
          </w:p>
          <w:p w14:paraId="4CCD533E" w14:textId="4383CF28" w:rsidR="00D85E93" w:rsidRDefault="00A1114A" w:rsidP="00965D0D">
            <w:pPr>
              <w:spacing w:before="120" w:after="120" w:line="240" w:lineRule="auto"/>
            </w:pPr>
            <w:hyperlink r:id="rId14" w:history="1">
              <w:r w:rsidR="00B17336" w:rsidRPr="00013B91">
                <w:rPr>
                  <w:rStyle w:val="Hyperlink"/>
                </w:rPr>
                <w:t>https://www.gov.scot/publications/coronavirus-covid-19-getting-tested/pages/changes-from-1-may-2022/</w:t>
              </w:r>
            </w:hyperlink>
          </w:p>
          <w:p w14:paraId="1733D5D3" w14:textId="1ABC81D4" w:rsidR="00B17336" w:rsidRDefault="00B17336" w:rsidP="00965D0D">
            <w:pPr>
              <w:spacing w:before="120" w:after="120" w:line="240" w:lineRule="auto"/>
            </w:pPr>
          </w:p>
        </w:tc>
      </w:tr>
      <w:tr w:rsidR="000F6E73" w14:paraId="4B405B51" w14:textId="77777777" w:rsidTr="00D03348">
        <w:tc>
          <w:tcPr>
            <w:tcW w:w="1696" w:type="dxa"/>
          </w:tcPr>
          <w:p w14:paraId="2D1FF2BE" w14:textId="77777777" w:rsidR="000F6E73" w:rsidRDefault="000F6E73" w:rsidP="000F6E73">
            <w:pPr>
              <w:spacing w:before="120" w:after="120" w:line="240" w:lineRule="auto"/>
            </w:pPr>
          </w:p>
        </w:tc>
        <w:tc>
          <w:tcPr>
            <w:tcW w:w="2457" w:type="dxa"/>
          </w:tcPr>
          <w:p w14:paraId="3DB03E49" w14:textId="77777777" w:rsidR="000F6E73" w:rsidRDefault="000F6E73" w:rsidP="000F6E73">
            <w:pPr>
              <w:spacing w:before="120" w:after="120" w:line="240" w:lineRule="auto"/>
            </w:pPr>
          </w:p>
        </w:tc>
        <w:tc>
          <w:tcPr>
            <w:tcW w:w="5475" w:type="dxa"/>
          </w:tcPr>
          <w:p w14:paraId="2D525980" w14:textId="77777777" w:rsidR="000F6E73" w:rsidRDefault="000F6E73" w:rsidP="000F6E73">
            <w:pPr>
              <w:spacing w:before="120" w:after="120" w:line="240" w:lineRule="auto"/>
            </w:pPr>
          </w:p>
        </w:tc>
      </w:tr>
      <w:tr w:rsidR="000F6E73" w14:paraId="40DD8C81" w14:textId="77777777" w:rsidTr="00D03348">
        <w:tc>
          <w:tcPr>
            <w:tcW w:w="1696" w:type="dxa"/>
          </w:tcPr>
          <w:p w14:paraId="7EFC07C4" w14:textId="77777777" w:rsidR="000F6E73" w:rsidRDefault="000F6E73" w:rsidP="000F6E73">
            <w:pPr>
              <w:spacing w:before="120" w:after="120" w:line="240" w:lineRule="auto"/>
            </w:pPr>
          </w:p>
        </w:tc>
        <w:tc>
          <w:tcPr>
            <w:tcW w:w="2457" w:type="dxa"/>
          </w:tcPr>
          <w:p w14:paraId="25C2E623" w14:textId="77777777" w:rsidR="000F6E73" w:rsidRDefault="000F6E73" w:rsidP="000F6E73">
            <w:pPr>
              <w:spacing w:before="120" w:after="120" w:line="240" w:lineRule="auto"/>
            </w:pPr>
          </w:p>
        </w:tc>
        <w:tc>
          <w:tcPr>
            <w:tcW w:w="5475" w:type="dxa"/>
          </w:tcPr>
          <w:p w14:paraId="410390FA" w14:textId="77777777" w:rsidR="000F6E73" w:rsidRDefault="000F6E73" w:rsidP="000F6E73">
            <w:pPr>
              <w:spacing w:before="120" w:after="120" w:line="240" w:lineRule="auto"/>
            </w:pPr>
          </w:p>
        </w:tc>
      </w:tr>
      <w:tr w:rsidR="000F6E73" w14:paraId="0B86296A" w14:textId="77777777" w:rsidTr="00D03348">
        <w:tc>
          <w:tcPr>
            <w:tcW w:w="1696" w:type="dxa"/>
          </w:tcPr>
          <w:p w14:paraId="0E6407DC" w14:textId="77777777" w:rsidR="000F6E73" w:rsidRDefault="000F6E73" w:rsidP="000F6E73">
            <w:pPr>
              <w:spacing w:before="120" w:after="120" w:line="240" w:lineRule="auto"/>
            </w:pPr>
          </w:p>
        </w:tc>
        <w:tc>
          <w:tcPr>
            <w:tcW w:w="2457" w:type="dxa"/>
          </w:tcPr>
          <w:p w14:paraId="2E8E31FA" w14:textId="77777777" w:rsidR="000F6E73" w:rsidRDefault="000F6E73" w:rsidP="000F6E73">
            <w:pPr>
              <w:spacing w:before="120" w:after="120" w:line="240" w:lineRule="auto"/>
            </w:pPr>
          </w:p>
        </w:tc>
        <w:tc>
          <w:tcPr>
            <w:tcW w:w="5475" w:type="dxa"/>
          </w:tcPr>
          <w:p w14:paraId="2020205C" w14:textId="77777777" w:rsidR="000F6E73" w:rsidRDefault="000F6E73" w:rsidP="000F6E73">
            <w:pPr>
              <w:spacing w:before="120" w:after="120" w:line="240" w:lineRule="auto"/>
            </w:pPr>
          </w:p>
        </w:tc>
      </w:tr>
    </w:tbl>
    <w:p w14:paraId="34EF7FA1" w14:textId="77777777" w:rsidR="005B40F8" w:rsidRDefault="005B40F8" w:rsidP="00A01746">
      <w:pPr>
        <w:sectPr w:rsidR="005B40F8" w:rsidSect="00D72F65">
          <w:headerReference w:type="default" r:id="rId15"/>
          <w:footerReference w:type="default" r:id="rId16"/>
          <w:headerReference w:type="first" r:id="rId17"/>
          <w:footerReference w:type="first" r:id="rId18"/>
          <w:pgSz w:w="11906" w:h="16838"/>
          <w:pgMar w:top="2835" w:right="1134" w:bottom="1701" w:left="1134" w:header="567" w:footer="567" w:gutter="0"/>
          <w:cols w:space="708"/>
          <w:titlePg/>
          <w:docGrid w:linePitch="360"/>
        </w:sectPr>
      </w:pPr>
    </w:p>
    <w:sdt>
      <w:sdtPr>
        <w:rPr>
          <w:rFonts w:ascii="Arial" w:eastAsiaTheme="minorHAnsi" w:hAnsi="Arial" w:cs="Arial"/>
          <w:color w:val="auto"/>
          <w:sz w:val="24"/>
          <w:szCs w:val="24"/>
          <w:u w:val="single"/>
          <w:lang w:val="en-GB"/>
        </w:rPr>
        <w:id w:val="381376619"/>
        <w:docPartObj>
          <w:docPartGallery w:val="Table of Contents"/>
          <w:docPartUnique/>
        </w:docPartObj>
      </w:sdtPr>
      <w:sdtEndPr>
        <w:rPr>
          <w:b/>
          <w:bCs/>
          <w:noProof/>
        </w:rPr>
      </w:sdtEndPr>
      <w:sdtContent>
        <w:p w14:paraId="63001F33" w14:textId="77777777" w:rsidR="00886941" w:rsidRPr="00886941" w:rsidRDefault="00886941">
          <w:pPr>
            <w:pStyle w:val="TOCHeading"/>
            <w:rPr>
              <w:rFonts w:ascii="Arial" w:hAnsi="Arial" w:cs="Arial"/>
              <w:b/>
              <w:color w:val="auto"/>
              <w:sz w:val="28"/>
            </w:rPr>
          </w:pPr>
          <w:r w:rsidRPr="00886941">
            <w:rPr>
              <w:rFonts w:ascii="Arial" w:hAnsi="Arial" w:cs="Arial"/>
              <w:b/>
              <w:color w:val="auto"/>
              <w:sz w:val="28"/>
            </w:rPr>
            <w:t>Contents</w:t>
          </w:r>
        </w:p>
        <w:p w14:paraId="2E941035" w14:textId="22097809" w:rsidR="00743C67" w:rsidRDefault="00886941">
          <w:pPr>
            <w:pStyle w:val="TOC1"/>
            <w:tabs>
              <w:tab w:val="right" w:leader="dot" w:pos="96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4748132" w:history="1">
            <w:r w:rsidR="00743C67" w:rsidRPr="00FF5344">
              <w:rPr>
                <w:rStyle w:val="Hyperlink"/>
                <w:noProof/>
              </w:rPr>
              <w:t>Introduction</w:t>
            </w:r>
            <w:r w:rsidR="00743C67">
              <w:rPr>
                <w:noProof/>
                <w:webHidden/>
              </w:rPr>
              <w:tab/>
            </w:r>
            <w:r w:rsidR="00743C67">
              <w:rPr>
                <w:noProof/>
                <w:webHidden/>
              </w:rPr>
              <w:fldChar w:fldCharType="begin"/>
            </w:r>
            <w:r w:rsidR="00743C67">
              <w:rPr>
                <w:noProof/>
                <w:webHidden/>
              </w:rPr>
              <w:instrText xml:space="preserve"> PAGEREF _Toc114748132 \h </w:instrText>
            </w:r>
            <w:r w:rsidR="00743C67">
              <w:rPr>
                <w:noProof/>
                <w:webHidden/>
              </w:rPr>
            </w:r>
            <w:r w:rsidR="00743C67">
              <w:rPr>
                <w:noProof/>
                <w:webHidden/>
              </w:rPr>
              <w:fldChar w:fldCharType="separate"/>
            </w:r>
            <w:r w:rsidR="00743C67">
              <w:rPr>
                <w:noProof/>
                <w:webHidden/>
              </w:rPr>
              <w:t>4</w:t>
            </w:r>
            <w:r w:rsidR="00743C67">
              <w:rPr>
                <w:noProof/>
                <w:webHidden/>
              </w:rPr>
              <w:fldChar w:fldCharType="end"/>
            </w:r>
          </w:hyperlink>
        </w:p>
        <w:p w14:paraId="013E99E6" w14:textId="077F9D26" w:rsidR="00743C67" w:rsidRDefault="00A1114A">
          <w:pPr>
            <w:pStyle w:val="TOC1"/>
            <w:tabs>
              <w:tab w:val="right" w:leader="dot" w:pos="9628"/>
            </w:tabs>
            <w:rPr>
              <w:rFonts w:asciiTheme="minorHAnsi" w:eastAsiaTheme="minorEastAsia" w:hAnsiTheme="minorHAnsi" w:cstheme="minorBidi"/>
              <w:noProof/>
              <w:sz w:val="22"/>
              <w:szCs w:val="22"/>
              <w:lang w:eastAsia="en-GB"/>
            </w:rPr>
          </w:pPr>
          <w:hyperlink w:anchor="_Toc114748133" w:history="1">
            <w:r w:rsidR="00743C67" w:rsidRPr="00FF5344">
              <w:rPr>
                <w:rStyle w:val="Hyperlink"/>
                <w:noProof/>
              </w:rPr>
              <w:t>The Law</w:t>
            </w:r>
            <w:r w:rsidR="00743C67">
              <w:rPr>
                <w:noProof/>
                <w:webHidden/>
              </w:rPr>
              <w:tab/>
            </w:r>
            <w:r w:rsidR="00743C67">
              <w:rPr>
                <w:noProof/>
                <w:webHidden/>
              </w:rPr>
              <w:fldChar w:fldCharType="begin"/>
            </w:r>
            <w:r w:rsidR="00743C67">
              <w:rPr>
                <w:noProof/>
                <w:webHidden/>
              </w:rPr>
              <w:instrText xml:space="preserve"> PAGEREF _Toc114748133 \h </w:instrText>
            </w:r>
            <w:r w:rsidR="00743C67">
              <w:rPr>
                <w:noProof/>
                <w:webHidden/>
              </w:rPr>
            </w:r>
            <w:r w:rsidR="00743C67">
              <w:rPr>
                <w:noProof/>
                <w:webHidden/>
              </w:rPr>
              <w:fldChar w:fldCharType="separate"/>
            </w:r>
            <w:r w:rsidR="00743C67">
              <w:rPr>
                <w:noProof/>
                <w:webHidden/>
              </w:rPr>
              <w:t>5</w:t>
            </w:r>
            <w:r w:rsidR="00743C67">
              <w:rPr>
                <w:noProof/>
                <w:webHidden/>
              </w:rPr>
              <w:fldChar w:fldCharType="end"/>
            </w:r>
          </w:hyperlink>
        </w:p>
        <w:p w14:paraId="59A2BB75" w14:textId="026682ED"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34" w:history="1">
            <w:r w:rsidR="00743C67" w:rsidRPr="00FF5344">
              <w:rPr>
                <w:rStyle w:val="Hyperlink"/>
                <w:noProof/>
              </w:rPr>
              <w:t>The Adults with Incapacity Act (Scotland) 2000</w:t>
            </w:r>
            <w:r w:rsidR="00743C67">
              <w:rPr>
                <w:noProof/>
                <w:webHidden/>
              </w:rPr>
              <w:tab/>
            </w:r>
            <w:r w:rsidR="00743C67">
              <w:rPr>
                <w:noProof/>
                <w:webHidden/>
              </w:rPr>
              <w:fldChar w:fldCharType="begin"/>
            </w:r>
            <w:r w:rsidR="00743C67">
              <w:rPr>
                <w:noProof/>
                <w:webHidden/>
              </w:rPr>
              <w:instrText xml:space="preserve"> PAGEREF _Toc114748134 \h </w:instrText>
            </w:r>
            <w:r w:rsidR="00743C67">
              <w:rPr>
                <w:noProof/>
                <w:webHidden/>
              </w:rPr>
            </w:r>
            <w:r w:rsidR="00743C67">
              <w:rPr>
                <w:noProof/>
                <w:webHidden/>
              </w:rPr>
              <w:fldChar w:fldCharType="separate"/>
            </w:r>
            <w:r w:rsidR="00743C67">
              <w:rPr>
                <w:noProof/>
                <w:webHidden/>
              </w:rPr>
              <w:t>5</w:t>
            </w:r>
            <w:r w:rsidR="00743C67">
              <w:rPr>
                <w:noProof/>
                <w:webHidden/>
              </w:rPr>
              <w:fldChar w:fldCharType="end"/>
            </w:r>
          </w:hyperlink>
        </w:p>
        <w:p w14:paraId="52FE6C78" w14:textId="449844E5"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35" w:history="1">
            <w:r w:rsidR="00743C67" w:rsidRPr="00FF5344">
              <w:rPr>
                <w:rStyle w:val="Hyperlink"/>
                <w:noProof/>
              </w:rPr>
              <w:t>The Human Rights Act 1998</w:t>
            </w:r>
            <w:r w:rsidR="00743C67">
              <w:rPr>
                <w:noProof/>
                <w:webHidden/>
              </w:rPr>
              <w:tab/>
            </w:r>
            <w:r w:rsidR="00743C67">
              <w:rPr>
                <w:noProof/>
                <w:webHidden/>
              </w:rPr>
              <w:fldChar w:fldCharType="begin"/>
            </w:r>
            <w:r w:rsidR="00743C67">
              <w:rPr>
                <w:noProof/>
                <w:webHidden/>
              </w:rPr>
              <w:instrText xml:space="preserve"> PAGEREF _Toc114748135 \h </w:instrText>
            </w:r>
            <w:r w:rsidR="00743C67">
              <w:rPr>
                <w:noProof/>
                <w:webHidden/>
              </w:rPr>
            </w:r>
            <w:r w:rsidR="00743C67">
              <w:rPr>
                <w:noProof/>
                <w:webHidden/>
              </w:rPr>
              <w:fldChar w:fldCharType="separate"/>
            </w:r>
            <w:r w:rsidR="00743C67">
              <w:rPr>
                <w:noProof/>
                <w:webHidden/>
              </w:rPr>
              <w:t>5</w:t>
            </w:r>
            <w:r w:rsidR="00743C67">
              <w:rPr>
                <w:noProof/>
                <w:webHidden/>
              </w:rPr>
              <w:fldChar w:fldCharType="end"/>
            </w:r>
          </w:hyperlink>
        </w:p>
        <w:p w14:paraId="05940B4B" w14:textId="33952693"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36" w:history="1">
            <w:r w:rsidR="00743C67" w:rsidRPr="00FF5344">
              <w:rPr>
                <w:rStyle w:val="Hyperlink"/>
                <w:bCs/>
                <w:noProof/>
              </w:rPr>
              <w:t>Anne’s Law</w:t>
            </w:r>
            <w:r w:rsidR="00743C67">
              <w:rPr>
                <w:noProof/>
                <w:webHidden/>
              </w:rPr>
              <w:tab/>
            </w:r>
            <w:r w:rsidR="00743C67">
              <w:rPr>
                <w:noProof/>
                <w:webHidden/>
              </w:rPr>
              <w:fldChar w:fldCharType="begin"/>
            </w:r>
            <w:r w:rsidR="00743C67">
              <w:rPr>
                <w:noProof/>
                <w:webHidden/>
              </w:rPr>
              <w:instrText xml:space="preserve"> PAGEREF _Toc114748136 \h </w:instrText>
            </w:r>
            <w:r w:rsidR="00743C67">
              <w:rPr>
                <w:noProof/>
                <w:webHidden/>
              </w:rPr>
            </w:r>
            <w:r w:rsidR="00743C67">
              <w:rPr>
                <w:noProof/>
                <w:webHidden/>
              </w:rPr>
              <w:fldChar w:fldCharType="separate"/>
            </w:r>
            <w:r w:rsidR="00743C67">
              <w:rPr>
                <w:noProof/>
                <w:webHidden/>
              </w:rPr>
              <w:t>6</w:t>
            </w:r>
            <w:r w:rsidR="00743C67">
              <w:rPr>
                <w:noProof/>
                <w:webHidden/>
              </w:rPr>
              <w:fldChar w:fldCharType="end"/>
            </w:r>
          </w:hyperlink>
        </w:p>
        <w:p w14:paraId="1B81EB9A" w14:textId="67340872"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37" w:history="1">
            <w:r w:rsidR="00743C67" w:rsidRPr="00FF5344">
              <w:rPr>
                <w:rStyle w:val="Hyperlink"/>
                <w:noProof/>
              </w:rPr>
              <w:t>People We Support Receiving Visitors</w:t>
            </w:r>
            <w:r w:rsidR="00743C67">
              <w:rPr>
                <w:noProof/>
                <w:webHidden/>
              </w:rPr>
              <w:tab/>
            </w:r>
            <w:r w:rsidR="00743C67">
              <w:rPr>
                <w:noProof/>
                <w:webHidden/>
              </w:rPr>
              <w:fldChar w:fldCharType="begin"/>
            </w:r>
            <w:r w:rsidR="00743C67">
              <w:rPr>
                <w:noProof/>
                <w:webHidden/>
              </w:rPr>
              <w:instrText xml:space="preserve"> PAGEREF _Toc114748137 \h </w:instrText>
            </w:r>
            <w:r w:rsidR="00743C67">
              <w:rPr>
                <w:noProof/>
                <w:webHidden/>
              </w:rPr>
            </w:r>
            <w:r w:rsidR="00743C67">
              <w:rPr>
                <w:noProof/>
                <w:webHidden/>
              </w:rPr>
              <w:fldChar w:fldCharType="separate"/>
            </w:r>
            <w:r w:rsidR="00743C67">
              <w:rPr>
                <w:noProof/>
                <w:webHidden/>
              </w:rPr>
              <w:t>6</w:t>
            </w:r>
            <w:r w:rsidR="00743C67">
              <w:rPr>
                <w:noProof/>
                <w:webHidden/>
              </w:rPr>
              <w:fldChar w:fldCharType="end"/>
            </w:r>
          </w:hyperlink>
        </w:p>
        <w:p w14:paraId="623844FD" w14:textId="4AF90D5E" w:rsidR="00743C67" w:rsidRDefault="00A1114A">
          <w:pPr>
            <w:pStyle w:val="TOC1"/>
            <w:tabs>
              <w:tab w:val="right" w:leader="dot" w:pos="9628"/>
            </w:tabs>
            <w:rPr>
              <w:rFonts w:asciiTheme="minorHAnsi" w:eastAsiaTheme="minorEastAsia" w:hAnsiTheme="minorHAnsi" w:cstheme="minorBidi"/>
              <w:noProof/>
              <w:sz w:val="22"/>
              <w:szCs w:val="22"/>
              <w:lang w:eastAsia="en-GB"/>
            </w:rPr>
          </w:pPr>
          <w:hyperlink w:anchor="_Toc114748138" w:history="1">
            <w:r w:rsidR="00743C67" w:rsidRPr="00FF5344">
              <w:rPr>
                <w:rStyle w:val="Hyperlink"/>
                <w:noProof/>
              </w:rPr>
              <w:t>Visiting Arrangements for Symptomatic or Asymptomatic Visitors</w:t>
            </w:r>
            <w:r w:rsidR="00743C67">
              <w:rPr>
                <w:noProof/>
                <w:webHidden/>
              </w:rPr>
              <w:tab/>
            </w:r>
            <w:r w:rsidR="00743C67">
              <w:rPr>
                <w:noProof/>
                <w:webHidden/>
              </w:rPr>
              <w:fldChar w:fldCharType="begin"/>
            </w:r>
            <w:r w:rsidR="00743C67">
              <w:rPr>
                <w:noProof/>
                <w:webHidden/>
              </w:rPr>
              <w:instrText xml:space="preserve"> PAGEREF _Toc114748138 \h </w:instrText>
            </w:r>
            <w:r w:rsidR="00743C67">
              <w:rPr>
                <w:noProof/>
                <w:webHidden/>
              </w:rPr>
            </w:r>
            <w:r w:rsidR="00743C67">
              <w:rPr>
                <w:noProof/>
                <w:webHidden/>
              </w:rPr>
              <w:fldChar w:fldCharType="separate"/>
            </w:r>
            <w:r w:rsidR="00743C67">
              <w:rPr>
                <w:noProof/>
                <w:webHidden/>
              </w:rPr>
              <w:t>7</w:t>
            </w:r>
            <w:r w:rsidR="00743C67">
              <w:rPr>
                <w:noProof/>
                <w:webHidden/>
              </w:rPr>
              <w:fldChar w:fldCharType="end"/>
            </w:r>
          </w:hyperlink>
        </w:p>
        <w:p w14:paraId="23BB9A25" w14:textId="28E7F8CF"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39" w:history="1">
            <w:r w:rsidR="00743C67" w:rsidRPr="00FF5344">
              <w:rPr>
                <w:rStyle w:val="Hyperlink"/>
                <w:noProof/>
              </w:rPr>
              <w:t>Symptomatic Visitors</w:t>
            </w:r>
            <w:r w:rsidR="00743C67">
              <w:rPr>
                <w:noProof/>
                <w:webHidden/>
              </w:rPr>
              <w:tab/>
            </w:r>
            <w:r w:rsidR="00743C67">
              <w:rPr>
                <w:noProof/>
                <w:webHidden/>
              </w:rPr>
              <w:fldChar w:fldCharType="begin"/>
            </w:r>
            <w:r w:rsidR="00743C67">
              <w:rPr>
                <w:noProof/>
                <w:webHidden/>
              </w:rPr>
              <w:instrText xml:space="preserve"> PAGEREF _Toc114748139 \h </w:instrText>
            </w:r>
            <w:r w:rsidR="00743C67">
              <w:rPr>
                <w:noProof/>
                <w:webHidden/>
              </w:rPr>
            </w:r>
            <w:r w:rsidR="00743C67">
              <w:rPr>
                <w:noProof/>
                <w:webHidden/>
              </w:rPr>
              <w:fldChar w:fldCharType="separate"/>
            </w:r>
            <w:r w:rsidR="00743C67">
              <w:rPr>
                <w:noProof/>
                <w:webHidden/>
              </w:rPr>
              <w:t>7</w:t>
            </w:r>
            <w:r w:rsidR="00743C67">
              <w:rPr>
                <w:noProof/>
                <w:webHidden/>
              </w:rPr>
              <w:fldChar w:fldCharType="end"/>
            </w:r>
          </w:hyperlink>
        </w:p>
        <w:p w14:paraId="6F15370F" w14:textId="08EFC250" w:rsidR="00743C67" w:rsidRDefault="00A1114A">
          <w:pPr>
            <w:pStyle w:val="TOC1"/>
            <w:tabs>
              <w:tab w:val="right" w:leader="dot" w:pos="9628"/>
            </w:tabs>
            <w:rPr>
              <w:rFonts w:asciiTheme="minorHAnsi" w:eastAsiaTheme="minorEastAsia" w:hAnsiTheme="minorHAnsi" w:cstheme="minorBidi"/>
              <w:noProof/>
              <w:sz w:val="22"/>
              <w:szCs w:val="22"/>
              <w:lang w:eastAsia="en-GB"/>
            </w:rPr>
          </w:pPr>
          <w:hyperlink w:anchor="_Toc114748140" w:history="1">
            <w:r w:rsidR="00743C67" w:rsidRPr="00FF5344">
              <w:rPr>
                <w:rStyle w:val="Hyperlink"/>
                <w:noProof/>
              </w:rPr>
              <w:t>Visiting someone who is symptomatic or COVID-19 diagnosed (when no outbreak has been declared)</w:t>
            </w:r>
            <w:r w:rsidR="00743C67">
              <w:rPr>
                <w:noProof/>
                <w:webHidden/>
              </w:rPr>
              <w:tab/>
            </w:r>
            <w:r w:rsidR="00743C67">
              <w:rPr>
                <w:noProof/>
                <w:webHidden/>
              </w:rPr>
              <w:fldChar w:fldCharType="begin"/>
            </w:r>
            <w:r w:rsidR="00743C67">
              <w:rPr>
                <w:noProof/>
                <w:webHidden/>
              </w:rPr>
              <w:instrText xml:space="preserve"> PAGEREF _Toc114748140 \h </w:instrText>
            </w:r>
            <w:r w:rsidR="00743C67">
              <w:rPr>
                <w:noProof/>
                <w:webHidden/>
              </w:rPr>
            </w:r>
            <w:r w:rsidR="00743C67">
              <w:rPr>
                <w:noProof/>
                <w:webHidden/>
              </w:rPr>
              <w:fldChar w:fldCharType="separate"/>
            </w:r>
            <w:r w:rsidR="00743C67">
              <w:rPr>
                <w:noProof/>
                <w:webHidden/>
              </w:rPr>
              <w:t>7</w:t>
            </w:r>
            <w:r w:rsidR="00743C67">
              <w:rPr>
                <w:noProof/>
                <w:webHidden/>
              </w:rPr>
              <w:fldChar w:fldCharType="end"/>
            </w:r>
          </w:hyperlink>
        </w:p>
        <w:p w14:paraId="1BEE2E71" w14:textId="1CD2776E"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1" w:history="1">
            <w:r w:rsidR="00743C67" w:rsidRPr="00FF5344">
              <w:rPr>
                <w:rStyle w:val="Hyperlink"/>
                <w:noProof/>
              </w:rPr>
              <w:t>Visiting someone who is symptomatic or during an outbreak</w:t>
            </w:r>
            <w:r w:rsidR="00743C67">
              <w:rPr>
                <w:noProof/>
                <w:webHidden/>
              </w:rPr>
              <w:tab/>
            </w:r>
            <w:r w:rsidR="00743C67">
              <w:rPr>
                <w:noProof/>
                <w:webHidden/>
              </w:rPr>
              <w:fldChar w:fldCharType="begin"/>
            </w:r>
            <w:r w:rsidR="00743C67">
              <w:rPr>
                <w:noProof/>
                <w:webHidden/>
              </w:rPr>
              <w:instrText xml:space="preserve"> PAGEREF _Toc114748141 \h </w:instrText>
            </w:r>
            <w:r w:rsidR="00743C67">
              <w:rPr>
                <w:noProof/>
                <w:webHidden/>
              </w:rPr>
            </w:r>
            <w:r w:rsidR="00743C67">
              <w:rPr>
                <w:noProof/>
                <w:webHidden/>
              </w:rPr>
              <w:fldChar w:fldCharType="separate"/>
            </w:r>
            <w:r w:rsidR="00743C67">
              <w:rPr>
                <w:noProof/>
                <w:webHidden/>
              </w:rPr>
              <w:t>8</w:t>
            </w:r>
            <w:r w:rsidR="00743C67">
              <w:rPr>
                <w:noProof/>
                <w:webHidden/>
              </w:rPr>
              <w:fldChar w:fldCharType="end"/>
            </w:r>
          </w:hyperlink>
        </w:p>
        <w:p w14:paraId="1B785F6C" w14:textId="30CA1842"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2" w:history="1">
            <w:r w:rsidR="00743C67" w:rsidRPr="00FF5344">
              <w:rPr>
                <w:rStyle w:val="Hyperlink"/>
                <w:noProof/>
              </w:rPr>
              <w:t>Asymptomatic Visitors</w:t>
            </w:r>
            <w:r w:rsidR="00743C67">
              <w:rPr>
                <w:noProof/>
                <w:webHidden/>
              </w:rPr>
              <w:tab/>
            </w:r>
            <w:r w:rsidR="00743C67">
              <w:rPr>
                <w:noProof/>
                <w:webHidden/>
              </w:rPr>
              <w:fldChar w:fldCharType="begin"/>
            </w:r>
            <w:r w:rsidR="00743C67">
              <w:rPr>
                <w:noProof/>
                <w:webHidden/>
              </w:rPr>
              <w:instrText xml:space="preserve"> PAGEREF _Toc114748142 \h </w:instrText>
            </w:r>
            <w:r w:rsidR="00743C67">
              <w:rPr>
                <w:noProof/>
                <w:webHidden/>
              </w:rPr>
            </w:r>
            <w:r w:rsidR="00743C67">
              <w:rPr>
                <w:noProof/>
                <w:webHidden/>
              </w:rPr>
              <w:fldChar w:fldCharType="separate"/>
            </w:r>
            <w:r w:rsidR="00743C67">
              <w:rPr>
                <w:noProof/>
                <w:webHidden/>
              </w:rPr>
              <w:t>9</w:t>
            </w:r>
            <w:r w:rsidR="00743C67">
              <w:rPr>
                <w:noProof/>
                <w:webHidden/>
              </w:rPr>
              <w:fldChar w:fldCharType="end"/>
            </w:r>
          </w:hyperlink>
        </w:p>
        <w:p w14:paraId="73F178D0" w14:textId="5512BCB9" w:rsidR="00743C67" w:rsidRDefault="00A1114A">
          <w:pPr>
            <w:pStyle w:val="TOC1"/>
            <w:tabs>
              <w:tab w:val="right" w:leader="dot" w:pos="9628"/>
            </w:tabs>
            <w:rPr>
              <w:rFonts w:asciiTheme="minorHAnsi" w:eastAsiaTheme="minorEastAsia" w:hAnsiTheme="minorHAnsi" w:cstheme="minorBidi"/>
              <w:noProof/>
              <w:sz w:val="22"/>
              <w:szCs w:val="22"/>
              <w:lang w:eastAsia="en-GB"/>
            </w:rPr>
          </w:pPr>
          <w:hyperlink w:anchor="_Toc114748143" w:history="1">
            <w:r w:rsidR="00743C67" w:rsidRPr="00FF5344">
              <w:rPr>
                <w:rStyle w:val="Hyperlink"/>
                <w:noProof/>
              </w:rPr>
              <w:t>Promoting Successful Visiting</w:t>
            </w:r>
            <w:r w:rsidR="00743C67">
              <w:rPr>
                <w:noProof/>
                <w:webHidden/>
              </w:rPr>
              <w:tab/>
            </w:r>
            <w:r w:rsidR="00743C67">
              <w:rPr>
                <w:noProof/>
                <w:webHidden/>
              </w:rPr>
              <w:fldChar w:fldCharType="begin"/>
            </w:r>
            <w:r w:rsidR="00743C67">
              <w:rPr>
                <w:noProof/>
                <w:webHidden/>
              </w:rPr>
              <w:instrText xml:space="preserve"> PAGEREF _Toc114748143 \h </w:instrText>
            </w:r>
            <w:r w:rsidR="00743C67">
              <w:rPr>
                <w:noProof/>
                <w:webHidden/>
              </w:rPr>
            </w:r>
            <w:r w:rsidR="00743C67">
              <w:rPr>
                <w:noProof/>
                <w:webHidden/>
              </w:rPr>
              <w:fldChar w:fldCharType="separate"/>
            </w:r>
            <w:r w:rsidR="00743C67">
              <w:rPr>
                <w:noProof/>
                <w:webHidden/>
              </w:rPr>
              <w:t>9</w:t>
            </w:r>
            <w:r w:rsidR="00743C67">
              <w:rPr>
                <w:noProof/>
                <w:webHidden/>
              </w:rPr>
              <w:fldChar w:fldCharType="end"/>
            </w:r>
          </w:hyperlink>
        </w:p>
        <w:p w14:paraId="11B4C7D0" w14:textId="51A464DD"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4" w:history="1">
            <w:r w:rsidR="00743C67" w:rsidRPr="00FF5344">
              <w:rPr>
                <w:rStyle w:val="Hyperlink"/>
                <w:noProof/>
              </w:rPr>
              <w:t>Visitors Checklist</w:t>
            </w:r>
            <w:r w:rsidR="00743C67">
              <w:rPr>
                <w:noProof/>
                <w:webHidden/>
              </w:rPr>
              <w:tab/>
            </w:r>
            <w:r w:rsidR="00743C67">
              <w:rPr>
                <w:noProof/>
                <w:webHidden/>
              </w:rPr>
              <w:fldChar w:fldCharType="begin"/>
            </w:r>
            <w:r w:rsidR="00743C67">
              <w:rPr>
                <w:noProof/>
                <w:webHidden/>
              </w:rPr>
              <w:instrText xml:space="preserve"> PAGEREF _Toc114748144 \h </w:instrText>
            </w:r>
            <w:r w:rsidR="00743C67">
              <w:rPr>
                <w:noProof/>
                <w:webHidden/>
              </w:rPr>
            </w:r>
            <w:r w:rsidR="00743C67">
              <w:rPr>
                <w:noProof/>
                <w:webHidden/>
              </w:rPr>
              <w:fldChar w:fldCharType="separate"/>
            </w:r>
            <w:r w:rsidR="00743C67">
              <w:rPr>
                <w:noProof/>
                <w:webHidden/>
              </w:rPr>
              <w:t>10</w:t>
            </w:r>
            <w:r w:rsidR="00743C67">
              <w:rPr>
                <w:noProof/>
                <w:webHidden/>
              </w:rPr>
              <w:fldChar w:fldCharType="end"/>
            </w:r>
          </w:hyperlink>
        </w:p>
        <w:p w14:paraId="5F6240F7" w14:textId="714E86E9" w:rsidR="00743C67" w:rsidRDefault="00A1114A">
          <w:pPr>
            <w:pStyle w:val="TOC1"/>
            <w:tabs>
              <w:tab w:val="right" w:leader="dot" w:pos="9628"/>
            </w:tabs>
            <w:rPr>
              <w:rFonts w:asciiTheme="minorHAnsi" w:eastAsiaTheme="minorEastAsia" w:hAnsiTheme="minorHAnsi" w:cstheme="minorBidi"/>
              <w:noProof/>
              <w:sz w:val="22"/>
              <w:szCs w:val="22"/>
              <w:lang w:eastAsia="en-GB"/>
            </w:rPr>
          </w:pPr>
          <w:hyperlink w:anchor="_Toc114748145" w:history="1">
            <w:r w:rsidR="00743C67" w:rsidRPr="00FF5344">
              <w:rPr>
                <w:rStyle w:val="Hyperlink"/>
                <w:noProof/>
              </w:rPr>
              <w:t>Different Types of Visitors</w:t>
            </w:r>
            <w:r w:rsidR="00743C67">
              <w:rPr>
                <w:noProof/>
                <w:webHidden/>
              </w:rPr>
              <w:tab/>
            </w:r>
            <w:r w:rsidR="00743C67">
              <w:rPr>
                <w:noProof/>
                <w:webHidden/>
              </w:rPr>
              <w:fldChar w:fldCharType="begin"/>
            </w:r>
            <w:r w:rsidR="00743C67">
              <w:rPr>
                <w:noProof/>
                <w:webHidden/>
              </w:rPr>
              <w:instrText xml:space="preserve"> PAGEREF _Toc114748145 \h </w:instrText>
            </w:r>
            <w:r w:rsidR="00743C67">
              <w:rPr>
                <w:noProof/>
                <w:webHidden/>
              </w:rPr>
            </w:r>
            <w:r w:rsidR="00743C67">
              <w:rPr>
                <w:noProof/>
                <w:webHidden/>
              </w:rPr>
              <w:fldChar w:fldCharType="separate"/>
            </w:r>
            <w:r w:rsidR="00743C67">
              <w:rPr>
                <w:noProof/>
                <w:webHidden/>
              </w:rPr>
              <w:t>10</w:t>
            </w:r>
            <w:r w:rsidR="00743C67">
              <w:rPr>
                <w:noProof/>
                <w:webHidden/>
              </w:rPr>
              <w:fldChar w:fldCharType="end"/>
            </w:r>
          </w:hyperlink>
        </w:p>
        <w:p w14:paraId="57632BBB" w14:textId="02838E2C"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6" w:history="1">
            <w:r w:rsidR="00743C67" w:rsidRPr="00FF5344">
              <w:rPr>
                <w:rStyle w:val="Hyperlink"/>
                <w:noProof/>
              </w:rPr>
              <w:t>Visitors with a Specific Role:</w:t>
            </w:r>
            <w:r w:rsidR="00743C67">
              <w:rPr>
                <w:noProof/>
                <w:webHidden/>
              </w:rPr>
              <w:tab/>
            </w:r>
            <w:r w:rsidR="00743C67">
              <w:rPr>
                <w:noProof/>
                <w:webHidden/>
              </w:rPr>
              <w:fldChar w:fldCharType="begin"/>
            </w:r>
            <w:r w:rsidR="00743C67">
              <w:rPr>
                <w:noProof/>
                <w:webHidden/>
              </w:rPr>
              <w:instrText xml:space="preserve"> PAGEREF _Toc114748146 \h </w:instrText>
            </w:r>
            <w:r w:rsidR="00743C67">
              <w:rPr>
                <w:noProof/>
                <w:webHidden/>
              </w:rPr>
            </w:r>
            <w:r w:rsidR="00743C67">
              <w:rPr>
                <w:noProof/>
                <w:webHidden/>
              </w:rPr>
              <w:fldChar w:fldCharType="separate"/>
            </w:r>
            <w:r w:rsidR="00743C67">
              <w:rPr>
                <w:noProof/>
                <w:webHidden/>
              </w:rPr>
              <w:t>10</w:t>
            </w:r>
            <w:r w:rsidR="00743C67">
              <w:rPr>
                <w:noProof/>
                <w:webHidden/>
              </w:rPr>
              <w:fldChar w:fldCharType="end"/>
            </w:r>
          </w:hyperlink>
        </w:p>
        <w:p w14:paraId="12918345" w14:textId="41860100"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7" w:history="1">
            <w:r w:rsidR="00743C67" w:rsidRPr="00FF5344">
              <w:rPr>
                <w:rStyle w:val="Hyperlink"/>
                <w:noProof/>
              </w:rPr>
              <w:t>Children Visiting People We Support Homes</w:t>
            </w:r>
            <w:r w:rsidR="00743C67">
              <w:rPr>
                <w:noProof/>
                <w:webHidden/>
              </w:rPr>
              <w:tab/>
            </w:r>
            <w:r w:rsidR="00743C67">
              <w:rPr>
                <w:noProof/>
                <w:webHidden/>
              </w:rPr>
              <w:fldChar w:fldCharType="begin"/>
            </w:r>
            <w:r w:rsidR="00743C67">
              <w:rPr>
                <w:noProof/>
                <w:webHidden/>
              </w:rPr>
              <w:instrText xml:space="preserve"> PAGEREF _Toc114748147 \h </w:instrText>
            </w:r>
            <w:r w:rsidR="00743C67">
              <w:rPr>
                <w:noProof/>
                <w:webHidden/>
              </w:rPr>
            </w:r>
            <w:r w:rsidR="00743C67">
              <w:rPr>
                <w:noProof/>
                <w:webHidden/>
              </w:rPr>
              <w:fldChar w:fldCharType="separate"/>
            </w:r>
            <w:r w:rsidR="00743C67">
              <w:rPr>
                <w:noProof/>
                <w:webHidden/>
              </w:rPr>
              <w:t>11</w:t>
            </w:r>
            <w:r w:rsidR="00743C67">
              <w:rPr>
                <w:noProof/>
                <w:webHidden/>
              </w:rPr>
              <w:fldChar w:fldCharType="end"/>
            </w:r>
          </w:hyperlink>
        </w:p>
        <w:p w14:paraId="7365BBD7" w14:textId="7CE723E8"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8" w:history="1">
            <w:r w:rsidR="00743C67" w:rsidRPr="00FF5344">
              <w:rPr>
                <w:rStyle w:val="Hyperlink"/>
                <w:noProof/>
              </w:rPr>
              <w:t>Pets visiting individual’s homes</w:t>
            </w:r>
            <w:r w:rsidR="00743C67">
              <w:rPr>
                <w:noProof/>
                <w:webHidden/>
              </w:rPr>
              <w:tab/>
            </w:r>
            <w:r w:rsidR="00743C67">
              <w:rPr>
                <w:noProof/>
                <w:webHidden/>
              </w:rPr>
              <w:fldChar w:fldCharType="begin"/>
            </w:r>
            <w:r w:rsidR="00743C67">
              <w:rPr>
                <w:noProof/>
                <w:webHidden/>
              </w:rPr>
              <w:instrText xml:space="preserve"> PAGEREF _Toc114748148 \h </w:instrText>
            </w:r>
            <w:r w:rsidR="00743C67">
              <w:rPr>
                <w:noProof/>
                <w:webHidden/>
              </w:rPr>
            </w:r>
            <w:r w:rsidR="00743C67">
              <w:rPr>
                <w:noProof/>
                <w:webHidden/>
              </w:rPr>
              <w:fldChar w:fldCharType="separate"/>
            </w:r>
            <w:r w:rsidR="00743C67">
              <w:rPr>
                <w:noProof/>
                <w:webHidden/>
              </w:rPr>
              <w:t>11</w:t>
            </w:r>
            <w:r w:rsidR="00743C67">
              <w:rPr>
                <w:noProof/>
                <w:webHidden/>
              </w:rPr>
              <w:fldChar w:fldCharType="end"/>
            </w:r>
          </w:hyperlink>
        </w:p>
        <w:p w14:paraId="20E415C7" w14:textId="5DEE0012"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49" w:history="1">
            <w:r w:rsidR="00743C67" w:rsidRPr="00FF5344">
              <w:rPr>
                <w:rStyle w:val="Hyperlink"/>
                <w:noProof/>
              </w:rPr>
              <w:t>Staff receiving personal visitors while on duty</w:t>
            </w:r>
            <w:r w:rsidR="00743C67">
              <w:rPr>
                <w:noProof/>
                <w:webHidden/>
              </w:rPr>
              <w:tab/>
            </w:r>
            <w:r w:rsidR="00743C67">
              <w:rPr>
                <w:noProof/>
                <w:webHidden/>
              </w:rPr>
              <w:fldChar w:fldCharType="begin"/>
            </w:r>
            <w:r w:rsidR="00743C67">
              <w:rPr>
                <w:noProof/>
                <w:webHidden/>
              </w:rPr>
              <w:instrText xml:space="preserve"> PAGEREF _Toc114748149 \h </w:instrText>
            </w:r>
            <w:r w:rsidR="00743C67">
              <w:rPr>
                <w:noProof/>
                <w:webHidden/>
              </w:rPr>
            </w:r>
            <w:r w:rsidR="00743C67">
              <w:rPr>
                <w:noProof/>
                <w:webHidden/>
              </w:rPr>
              <w:fldChar w:fldCharType="separate"/>
            </w:r>
            <w:r w:rsidR="00743C67">
              <w:rPr>
                <w:noProof/>
                <w:webHidden/>
              </w:rPr>
              <w:t>12</w:t>
            </w:r>
            <w:r w:rsidR="00743C67">
              <w:rPr>
                <w:noProof/>
                <w:webHidden/>
              </w:rPr>
              <w:fldChar w:fldCharType="end"/>
            </w:r>
          </w:hyperlink>
        </w:p>
        <w:p w14:paraId="692431B5" w14:textId="6B5847DD" w:rsidR="00743C67" w:rsidRDefault="00A1114A">
          <w:pPr>
            <w:pStyle w:val="TOC2"/>
            <w:tabs>
              <w:tab w:val="right" w:leader="dot" w:pos="9628"/>
            </w:tabs>
            <w:rPr>
              <w:rFonts w:asciiTheme="minorHAnsi" w:eastAsiaTheme="minorEastAsia" w:hAnsiTheme="minorHAnsi" w:cstheme="minorBidi"/>
              <w:noProof/>
              <w:sz w:val="22"/>
              <w:szCs w:val="22"/>
              <w:lang w:eastAsia="en-GB"/>
            </w:rPr>
          </w:pPr>
          <w:hyperlink w:anchor="_Toc114748150" w:history="1">
            <w:r w:rsidR="00743C67" w:rsidRPr="00FF5344">
              <w:rPr>
                <w:rStyle w:val="Hyperlink"/>
                <w:noProof/>
              </w:rPr>
              <w:t>People we Support Visiting Staff Homes</w:t>
            </w:r>
            <w:r w:rsidR="00743C67">
              <w:rPr>
                <w:noProof/>
                <w:webHidden/>
              </w:rPr>
              <w:tab/>
            </w:r>
            <w:r w:rsidR="00743C67">
              <w:rPr>
                <w:noProof/>
                <w:webHidden/>
              </w:rPr>
              <w:fldChar w:fldCharType="begin"/>
            </w:r>
            <w:r w:rsidR="00743C67">
              <w:rPr>
                <w:noProof/>
                <w:webHidden/>
              </w:rPr>
              <w:instrText xml:space="preserve"> PAGEREF _Toc114748150 \h </w:instrText>
            </w:r>
            <w:r w:rsidR="00743C67">
              <w:rPr>
                <w:noProof/>
                <w:webHidden/>
              </w:rPr>
            </w:r>
            <w:r w:rsidR="00743C67">
              <w:rPr>
                <w:noProof/>
                <w:webHidden/>
              </w:rPr>
              <w:fldChar w:fldCharType="separate"/>
            </w:r>
            <w:r w:rsidR="00743C67">
              <w:rPr>
                <w:noProof/>
                <w:webHidden/>
              </w:rPr>
              <w:t>12</w:t>
            </w:r>
            <w:r w:rsidR="00743C67">
              <w:rPr>
                <w:noProof/>
                <w:webHidden/>
              </w:rPr>
              <w:fldChar w:fldCharType="end"/>
            </w:r>
          </w:hyperlink>
        </w:p>
        <w:p w14:paraId="497B5CAC" w14:textId="2C93D25C" w:rsidR="00886941" w:rsidRDefault="00886941">
          <w:r>
            <w:rPr>
              <w:b/>
              <w:bCs/>
              <w:noProof/>
            </w:rPr>
            <w:fldChar w:fldCharType="end"/>
          </w:r>
        </w:p>
      </w:sdtContent>
    </w:sdt>
    <w:p w14:paraId="1C9F123F" w14:textId="77777777" w:rsidR="00730C6F" w:rsidRDefault="00730C6F">
      <w:pPr>
        <w:spacing w:after="200" w:line="276" w:lineRule="auto"/>
        <w:jc w:val="left"/>
        <w:rPr>
          <w:b/>
          <w:sz w:val="28"/>
          <w:szCs w:val="28"/>
          <w:u w:val="single"/>
        </w:rPr>
      </w:pPr>
      <w:bookmarkStart w:id="0" w:name="_Toc429483349"/>
      <w:r>
        <w:br w:type="page"/>
      </w:r>
    </w:p>
    <w:p w14:paraId="1D8BB39C" w14:textId="77777777" w:rsidR="00730C6F" w:rsidRPr="00AB16AA" w:rsidRDefault="00434654" w:rsidP="00730C6F">
      <w:pPr>
        <w:pStyle w:val="Heading1"/>
      </w:pPr>
      <w:bookmarkStart w:id="1" w:name="_Toc114748132"/>
      <w:bookmarkEnd w:id="0"/>
      <w:r w:rsidRPr="00AB16AA">
        <w:lastRenderedPageBreak/>
        <w:t>Introduction</w:t>
      </w:r>
      <w:bookmarkEnd w:id="1"/>
    </w:p>
    <w:p w14:paraId="13762E68" w14:textId="328BEE0D" w:rsidR="00434654" w:rsidRDefault="00434654" w:rsidP="00434654">
      <w:r w:rsidRPr="001B27E7">
        <w:t xml:space="preserve">Inspire expects all staff to maintain a high standard of ethical </w:t>
      </w:r>
      <w:r>
        <w:t>conduct and professional practic</w:t>
      </w:r>
      <w:r w:rsidRPr="001B27E7">
        <w:t>e whilst undertaking work activities or having responsibili</w:t>
      </w:r>
      <w:r>
        <w:t>ty for the care of the people we support</w:t>
      </w:r>
      <w:r w:rsidRPr="001B27E7">
        <w:t>.</w:t>
      </w:r>
      <w:r>
        <w:t xml:space="preserve"> Inspire</w:t>
      </w:r>
      <w:r w:rsidRPr="00A41773">
        <w:t xml:space="preserve"> aims</w:t>
      </w:r>
      <w:r>
        <w:t xml:space="preserve"> to offer those we support </w:t>
      </w:r>
      <w:r w:rsidRPr="00A41773">
        <w:t>opportunities for relationships and activities tha</w:t>
      </w:r>
      <w:r>
        <w:t xml:space="preserve">t enhance their quality of life; these include volunteers, </w:t>
      </w:r>
      <w:r w:rsidR="00DC6FAF">
        <w:t>befrienders,</w:t>
      </w:r>
      <w:r>
        <w:t xml:space="preserve"> and people in the community, and this should be encouraged.</w:t>
      </w:r>
      <w:r w:rsidRPr="00A41773">
        <w:t xml:space="preserve"> </w:t>
      </w:r>
    </w:p>
    <w:p w14:paraId="37DF113E" w14:textId="77777777" w:rsidR="00434654" w:rsidRDefault="00434654" w:rsidP="00434654"/>
    <w:p w14:paraId="03A5399D" w14:textId="701B4884" w:rsidR="00434654" w:rsidRDefault="00434654" w:rsidP="00434654">
      <w:r>
        <w:t xml:space="preserve">We must recognise that professional and personal relationships are </w:t>
      </w:r>
      <w:r w:rsidR="00DC6FAF">
        <w:t>different,</w:t>
      </w:r>
      <w:r>
        <w:t xml:space="preserve"> and it is important that staff appreciate these differences. Having clear </w:t>
      </w:r>
      <w:r w:rsidR="00976055" w:rsidRPr="00714E12">
        <w:t>parameters</w:t>
      </w:r>
      <w:r w:rsidRPr="00714E12">
        <w:t xml:space="preserve"> is important for staff, the people we support and for the </w:t>
      </w:r>
      <w:r w:rsidR="00714E12" w:rsidRPr="00714E12">
        <w:t>Organisation. It</w:t>
      </w:r>
      <w:r w:rsidR="00976055" w:rsidRPr="00714E12">
        <w:t xml:space="preserve"> is essential, therefore, that we</w:t>
      </w:r>
      <w:r w:rsidRPr="00714E12">
        <w:t xml:space="preserve"> </w:t>
      </w:r>
      <w:r>
        <w:t>establish a clear balance between developing relationships and the professional constraints that may occur.</w:t>
      </w:r>
    </w:p>
    <w:p w14:paraId="63C2B1D3" w14:textId="77777777" w:rsidR="00AB16AA" w:rsidRDefault="00AB16AA" w:rsidP="00434654"/>
    <w:p w14:paraId="70829680" w14:textId="34083606" w:rsidR="004C7AC1" w:rsidRPr="00714E12" w:rsidRDefault="00AB16AA" w:rsidP="004C7AC1">
      <w:r w:rsidRPr="00714E12">
        <w:rPr>
          <w:lang w:val="en-US"/>
        </w:rPr>
        <w:t>At Inspire maintaining the safety and wellbeing of the people we support, and our staff has been our fundamental concern since the start of the Coronavirus pandemic.  However, as we adapt to a ‘Living with Covid model’, it is important that we</w:t>
      </w:r>
      <w:r w:rsidRPr="00714E12">
        <w:t xml:space="preserve"> recognise</w:t>
      </w:r>
      <w:r w:rsidRPr="00714E12">
        <w:rPr>
          <w:lang w:val="en-US"/>
        </w:rPr>
        <w:t xml:space="preserve"> that it is important to further support wellbeing by enabling and </w:t>
      </w:r>
      <w:proofErr w:type="spellStart"/>
      <w:r w:rsidRPr="00714E12">
        <w:rPr>
          <w:lang w:val="en-US"/>
        </w:rPr>
        <w:t>maximising</w:t>
      </w:r>
      <w:proofErr w:type="spellEnd"/>
      <w:r w:rsidRPr="00714E12">
        <w:rPr>
          <w:lang w:val="en-US"/>
        </w:rPr>
        <w:t xml:space="preserve"> opportunities for safe and meaningful social contact for the people we support and their families and friends. </w:t>
      </w:r>
      <w:r w:rsidR="004C7AC1" w:rsidRPr="00714E12">
        <w:rPr>
          <w:lang w:val="en-US"/>
        </w:rPr>
        <w:t>There should therefore</w:t>
      </w:r>
      <w:r w:rsidR="004C7AC1" w:rsidRPr="00714E12">
        <w:t xml:space="preserve"> be no restrictions to the frequency or length of visits or </w:t>
      </w:r>
      <w:r w:rsidR="00D90AC7" w:rsidRPr="00714E12">
        <w:t>outings unless</w:t>
      </w:r>
      <w:r w:rsidR="004C7AC1" w:rsidRPr="00714E12">
        <w:t xml:space="preserve"> there is a COVID-19 or other infectious outbreak within the service.</w:t>
      </w:r>
    </w:p>
    <w:p w14:paraId="2FE0EDFA" w14:textId="63164D56" w:rsidR="00AB16AA" w:rsidRPr="00D20418" w:rsidRDefault="00AB16AA" w:rsidP="00AB16AA">
      <w:pPr>
        <w:rPr>
          <w:color w:val="FF0000"/>
          <w:lang w:val="en-US"/>
        </w:rPr>
      </w:pPr>
    </w:p>
    <w:p w14:paraId="44787D6C" w14:textId="77777777" w:rsidR="00AF7192" w:rsidRDefault="00A1114A" w:rsidP="00AF7192">
      <w:pPr>
        <w:spacing w:before="120" w:after="120" w:line="240" w:lineRule="auto"/>
      </w:pPr>
      <w:hyperlink r:id="rId19" w:history="1">
        <w:r w:rsidR="00AF7192" w:rsidRPr="00D1404A">
          <w:rPr>
            <w:rStyle w:val="Hyperlink"/>
          </w:rPr>
          <w:t>https://www.publichealthscotland.scot/publications/covid-19-information-and-guidance-for-social-community-and-residential-care-settings/covid-19-information-and-guidance-for-social-community-and-residential-care-settings-version-23/</w:t>
        </w:r>
      </w:hyperlink>
    </w:p>
    <w:p w14:paraId="6D963809" w14:textId="39F062C5" w:rsidR="00D20418" w:rsidRDefault="00D20418" w:rsidP="00AB16AA">
      <w:pPr>
        <w:rPr>
          <w:color w:val="FF0000"/>
          <w:lang w:val="en-US"/>
        </w:rPr>
      </w:pPr>
    </w:p>
    <w:p w14:paraId="18818E33" w14:textId="49A2E99C" w:rsidR="00D90AC7" w:rsidRDefault="004A7107" w:rsidP="00D90AC7">
      <w:pPr>
        <w:rPr>
          <w:lang w:val="en-US"/>
        </w:rPr>
      </w:pPr>
      <w:r w:rsidRPr="00714E12">
        <w:rPr>
          <w:lang w:val="en-US"/>
        </w:rPr>
        <w:t xml:space="preserve">The </w:t>
      </w:r>
      <w:r w:rsidR="00976055" w:rsidRPr="00714E12">
        <w:rPr>
          <w:lang w:val="en-US"/>
        </w:rPr>
        <w:t>o</w:t>
      </w:r>
      <w:r w:rsidRPr="00714E12">
        <w:rPr>
          <w:lang w:val="en-US"/>
        </w:rPr>
        <w:t>verarching vision of</w:t>
      </w:r>
      <w:r w:rsidR="00976055" w:rsidRPr="00714E12">
        <w:rPr>
          <w:lang w:val="en-US"/>
        </w:rPr>
        <w:t xml:space="preserve"> the Scottish Government’s adult care home visiting </w:t>
      </w:r>
      <w:r w:rsidR="008A7E5C" w:rsidRPr="00714E12">
        <w:rPr>
          <w:lang w:val="en-US"/>
        </w:rPr>
        <w:t>guidance, “</w:t>
      </w:r>
      <w:r w:rsidRPr="00714E12">
        <w:rPr>
          <w:lang w:val="en-US"/>
        </w:rPr>
        <w:t>Open with Care</w:t>
      </w:r>
      <w:r w:rsidR="00714E12" w:rsidRPr="00714E12">
        <w:rPr>
          <w:lang w:val="en-US"/>
        </w:rPr>
        <w:t>”</w:t>
      </w:r>
      <w:r w:rsidRPr="00714E12">
        <w:rPr>
          <w:lang w:val="en-US"/>
        </w:rPr>
        <w:t xml:space="preserve"> is that everyone who lives in an adult care home is supported to see and spend time with the people that are important to them an</w:t>
      </w:r>
      <w:r w:rsidR="00976055" w:rsidRPr="00714E12">
        <w:rPr>
          <w:lang w:val="en-US"/>
        </w:rPr>
        <w:t>d</w:t>
      </w:r>
      <w:r w:rsidRPr="00714E12">
        <w:rPr>
          <w:lang w:val="en-US"/>
        </w:rPr>
        <w:t xml:space="preserve"> participate in activities within the home and in their communities. The Scottish Government has taken the following steps to promote and support visiting and outings in adult care homes</w:t>
      </w:r>
      <w:r w:rsidR="00D90AC7" w:rsidRPr="00714E12">
        <w:rPr>
          <w:lang w:val="en-US"/>
        </w:rPr>
        <w:t xml:space="preserve"> sets out an approach to managing COVID-19 effectively but also sustainably for as long as necessary. </w:t>
      </w:r>
    </w:p>
    <w:p w14:paraId="4227F39A" w14:textId="77777777" w:rsidR="00714E12" w:rsidRPr="00714E12" w:rsidRDefault="00714E12" w:rsidP="00D90AC7">
      <w:pPr>
        <w:rPr>
          <w:lang w:val="en-US"/>
        </w:rPr>
      </w:pPr>
    </w:p>
    <w:p w14:paraId="5609E1BA" w14:textId="258D4524" w:rsidR="00434542" w:rsidRPr="00714E12" w:rsidRDefault="00A1114A" w:rsidP="00AB16AA">
      <w:pPr>
        <w:rPr>
          <w:color w:val="0000FF"/>
          <w:lang w:val="en-US"/>
        </w:rPr>
      </w:pPr>
      <w:hyperlink r:id="rId20" w:history="1">
        <w:r w:rsidR="004A7107" w:rsidRPr="00714E12">
          <w:rPr>
            <w:rStyle w:val="Hyperlink"/>
            <w:color w:val="0000FF"/>
            <w:lang w:val="en-US"/>
          </w:rPr>
          <w:t>https://www.gov.scot/publications/coronavirus-covid-19-scotlands-strategic-framework-update-february-2022/</w:t>
        </w:r>
      </w:hyperlink>
      <w:r w:rsidR="004A7107" w:rsidRPr="00714E12">
        <w:rPr>
          <w:color w:val="0000FF"/>
          <w:lang w:val="en-US"/>
        </w:rPr>
        <w:t xml:space="preserve"> </w:t>
      </w:r>
    </w:p>
    <w:p w14:paraId="113BB08A" w14:textId="5DCF0C0E" w:rsidR="00434542" w:rsidRDefault="00434542" w:rsidP="00AB16AA">
      <w:pPr>
        <w:rPr>
          <w:color w:val="FF0000"/>
          <w:lang w:val="en-US"/>
        </w:rPr>
      </w:pPr>
    </w:p>
    <w:p w14:paraId="6B0E512C" w14:textId="1F4CE7E4" w:rsidR="008A7E5C" w:rsidRDefault="008A7E5C" w:rsidP="00AB16AA">
      <w:pPr>
        <w:rPr>
          <w:color w:val="FF0000"/>
          <w:lang w:val="en-US"/>
        </w:rPr>
      </w:pPr>
    </w:p>
    <w:p w14:paraId="6468E6AD" w14:textId="77777777" w:rsidR="008A7E5C" w:rsidRDefault="008A7E5C" w:rsidP="00AB16AA">
      <w:pPr>
        <w:rPr>
          <w:color w:val="FF0000"/>
          <w:lang w:val="en-US"/>
        </w:rPr>
      </w:pPr>
    </w:p>
    <w:p w14:paraId="4A008A46" w14:textId="2F59F63A" w:rsidR="00D20418" w:rsidRPr="00FA301C" w:rsidRDefault="00D20418" w:rsidP="00AB16AA">
      <w:pPr>
        <w:rPr>
          <w:lang w:val="en-US"/>
        </w:rPr>
      </w:pPr>
      <w:r w:rsidRPr="00FA301C">
        <w:rPr>
          <w:lang w:val="en-US"/>
        </w:rPr>
        <w:t>Additional publications include:</w:t>
      </w:r>
    </w:p>
    <w:p w14:paraId="2947CC23" w14:textId="71B606A1" w:rsidR="00434542" w:rsidRPr="00FA301C" w:rsidRDefault="00434542" w:rsidP="00AB16AA">
      <w:pPr>
        <w:rPr>
          <w:lang w:val="en-US"/>
        </w:rPr>
      </w:pPr>
      <w:r w:rsidRPr="00FA301C">
        <w:rPr>
          <w:lang w:val="en-US"/>
        </w:rPr>
        <w:t xml:space="preserve">Open with Care: Supporting meaningful contact in Care Homes </w:t>
      </w:r>
    </w:p>
    <w:p w14:paraId="6F294B17" w14:textId="77777777" w:rsidR="00D90AC7" w:rsidRPr="00FA301C" w:rsidRDefault="00D90AC7" w:rsidP="00AB16AA">
      <w:pPr>
        <w:rPr>
          <w:lang w:val="en-US"/>
        </w:rPr>
      </w:pPr>
    </w:p>
    <w:p w14:paraId="6375EE0B" w14:textId="6721851D" w:rsidR="00BF2928" w:rsidRPr="00FA301C" w:rsidRDefault="00A1114A" w:rsidP="00AB16AA">
      <w:pPr>
        <w:rPr>
          <w:rStyle w:val="Hyperlink"/>
          <w:color w:val="0000FF"/>
          <w:lang w:val="en-US"/>
        </w:rPr>
      </w:pPr>
      <w:hyperlink r:id="rId21" w:history="1">
        <w:r w:rsidR="00BF2928" w:rsidRPr="00FA301C">
          <w:rPr>
            <w:rStyle w:val="Hyperlink"/>
            <w:color w:val="0000FF"/>
            <w:lang w:val="en-US"/>
          </w:rPr>
          <w:t>https://www.gov.scot/publications/open-with-care-supporting-meaningful-contact-in-adult-care-homes-principles/</w:t>
        </w:r>
      </w:hyperlink>
    </w:p>
    <w:p w14:paraId="0BFC863A" w14:textId="77777777" w:rsidR="00D90AC7" w:rsidRPr="00FA301C" w:rsidRDefault="00D90AC7" w:rsidP="00AB16AA">
      <w:pPr>
        <w:rPr>
          <w:lang w:val="en-US"/>
        </w:rPr>
      </w:pPr>
    </w:p>
    <w:p w14:paraId="0A38014C" w14:textId="684192DF" w:rsidR="00D20418" w:rsidRPr="00FA301C" w:rsidRDefault="00D20418" w:rsidP="00AB16AA">
      <w:pPr>
        <w:rPr>
          <w:lang w:val="en-US"/>
        </w:rPr>
      </w:pPr>
      <w:r w:rsidRPr="00FA301C">
        <w:rPr>
          <w:lang w:val="en-US"/>
        </w:rPr>
        <w:t>This guidance should be read in conjunction with the following Public Health and Infection Prevention and Control (IPC) guidance which provides details on measures required to support visits in and out of services, including during an outbreak</w:t>
      </w:r>
      <w:r w:rsidR="00CA28A6" w:rsidRPr="00FA301C">
        <w:rPr>
          <w:lang w:val="en-US"/>
        </w:rPr>
        <w:t xml:space="preserve"> situation</w:t>
      </w:r>
      <w:r w:rsidR="00434542" w:rsidRPr="00FA301C">
        <w:rPr>
          <w:lang w:val="en-US"/>
        </w:rPr>
        <w:t>.</w:t>
      </w:r>
    </w:p>
    <w:p w14:paraId="3C1DD83C" w14:textId="77777777" w:rsidR="00434542" w:rsidRPr="00FA301C" w:rsidRDefault="00434542" w:rsidP="00AB16AA">
      <w:pPr>
        <w:rPr>
          <w:lang w:val="en-US"/>
        </w:rPr>
      </w:pPr>
    </w:p>
    <w:p w14:paraId="0BC2B292" w14:textId="70552E79" w:rsidR="001A2131" w:rsidRPr="00FA301C" w:rsidRDefault="001A2131" w:rsidP="00AB16AA">
      <w:pPr>
        <w:rPr>
          <w:lang w:val="en-US"/>
        </w:rPr>
      </w:pPr>
      <w:r w:rsidRPr="00FA301C">
        <w:rPr>
          <w:lang w:val="en-US"/>
        </w:rPr>
        <w:t>The guidance states that:</w:t>
      </w:r>
    </w:p>
    <w:p w14:paraId="43CE0D8A" w14:textId="77777777" w:rsidR="008A7E5C" w:rsidRDefault="008A7E5C" w:rsidP="008A7E5C">
      <w:pPr>
        <w:shd w:val="clear" w:color="auto" w:fill="FFFFFF"/>
        <w:spacing w:line="240" w:lineRule="auto"/>
        <w:ind w:left="426"/>
        <w:jc w:val="left"/>
        <w:rPr>
          <w:rFonts w:eastAsia="Times New Roman"/>
          <w:i/>
          <w:iCs/>
          <w:lang w:eastAsia="en-GB"/>
        </w:rPr>
      </w:pPr>
    </w:p>
    <w:p w14:paraId="1BC15FC9" w14:textId="52EA4D69" w:rsidR="001A2131" w:rsidRDefault="001A2131" w:rsidP="008A7E5C">
      <w:pPr>
        <w:shd w:val="clear" w:color="auto" w:fill="FFFFFF"/>
        <w:spacing w:line="240" w:lineRule="auto"/>
        <w:ind w:left="426"/>
        <w:jc w:val="left"/>
        <w:rPr>
          <w:rFonts w:eastAsia="Times New Roman"/>
          <w:i/>
          <w:iCs/>
          <w:lang w:eastAsia="en-GB"/>
        </w:rPr>
      </w:pPr>
      <w:r w:rsidRPr="00FA301C">
        <w:rPr>
          <w:rFonts w:eastAsia="Times New Roman"/>
          <w:i/>
          <w:iCs/>
          <w:lang w:eastAsia="en-GB"/>
        </w:rPr>
        <w:t>Providers should promote visiting and outings from the, wherever possible and proactively manage the risk so that this can happen.</w:t>
      </w:r>
    </w:p>
    <w:p w14:paraId="01A88CAA" w14:textId="77777777" w:rsidR="008A7E5C" w:rsidRPr="00FA301C" w:rsidRDefault="008A7E5C" w:rsidP="008A7E5C">
      <w:pPr>
        <w:shd w:val="clear" w:color="auto" w:fill="FFFFFF"/>
        <w:spacing w:line="240" w:lineRule="auto"/>
        <w:ind w:left="426"/>
        <w:jc w:val="left"/>
        <w:rPr>
          <w:rFonts w:eastAsia="Times New Roman"/>
          <w:i/>
          <w:iCs/>
          <w:lang w:eastAsia="en-GB"/>
        </w:rPr>
      </w:pPr>
    </w:p>
    <w:p w14:paraId="64845C16" w14:textId="77777777" w:rsidR="001A2131" w:rsidRPr="00FA301C" w:rsidRDefault="001A2131" w:rsidP="00FA301C">
      <w:pPr>
        <w:shd w:val="clear" w:color="auto" w:fill="FFFFFF"/>
        <w:spacing w:after="240" w:line="240" w:lineRule="auto"/>
        <w:ind w:left="426"/>
        <w:jc w:val="left"/>
        <w:rPr>
          <w:rFonts w:eastAsia="Times New Roman"/>
          <w:i/>
          <w:iCs/>
          <w:lang w:eastAsia="en-GB"/>
        </w:rPr>
      </w:pPr>
      <w:r w:rsidRPr="00FA301C">
        <w:rPr>
          <w:rFonts w:eastAsia="Times New Roman"/>
          <w:i/>
          <w:iCs/>
          <w:lang w:eastAsia="en-GB"/>
        </w:rPr>
        <w:t>There are no recommended limits around the number, frequency and length of visits or outings, as long as the visit or activity remains manageable for the resident and the care home staff.</w:t>
      </w:r>
    </w:p>
    <w:p w14:paraId="44CDAF6E" w14:textId="5B4CDB96" w:rsidR="001A2131" w:rsidRPr="00FA301C" w:rsidRDefault="001A2131" w:rsidP="00FA301C">
      <w:pPr>
        <w:shd w:val="clear" w:color="auto" w:fill="FFFFFF"/>
        <w:spacing w:after="240" w:line="240" w:lineRule="auto"/>
        <w:ind w:left="426"/>
        <w:jc w:val="left"/>
        <w:rPr>
          <w:rFonts w:eastAsia="Times New Roman"/>
          <w:i/>
          <w:iCs/>
          <w:lang w:eastAsia="en-GB"/>
        </w:rPr>
      </w:pPr>
      <w:r w:rsidRPr="00FA301C">
        <w:rPr>
          <w:rFonts w:eastAsia="Times New Roman"/>
          <w:i/>
          <w:iCs/>
          <w:lang w:eastAsia="en-GB"/>
        </w:rPr>
        <w:t>Residents should be supported to undertake visits out of the care home in line with Public Health Scotland guidance</w:t>
      </w:r>
      <w:r w:rsidR="00D20418" w:rsidRPr="00FA301C">
        <w:rPr>
          <w:rFonts w:eastAsia="Times New Roman"/>
          <w:i/>
          <w:iCs/>
          <w:lang w:eastAsia="en-GB"/>
        </w:rPr>
        <w:t>.</w:t>
      </w:r>
    </w:p>
    <w:p w14:paraId="56E07AB3" w14:textId="7CD0103F" w:rsidR="001A2131" w:rsidRPr="00FA301C" w:rsidRDefault="001A2131" w:rsidP="00434654"/>
    <w:p w14:paraId="1BDD82FA" w14:textId="36AC584B" w:rsidR="000F4191" w:rsidRPr="00CC5E60" w:rsidRDefault="000F4191" w:rsidP="000F4191">
      <w:pPr>
        <w:pStyle w:val="Heading1"/>
        <w:rPr>
          <w:color w:val="FF0000"/>
        </w:rPr>
      </w:pPr>
      <w:bookmarkStart w:id="2" w:name="_Toc114748133"/>
      <w:r w:rsidRPr="004C3042">
        <w:t>The Law</w:t>
      </w:r>
      <w:bookmarkEnd w:id="2"/>
      <w:r w:rsidR="00CC5E60">
        <w:t xml:space="preserve"> </w:t>
      </w:r>
    </w:p>
    <w:p w14:paraId="1BF6657F" w14:textId="77777777" w:rsidR="000F4191" w:rsidRDefault="000F4191" w:rsidP="00FA301C">
      <w:pPr>
        <w:pStyle w:val="Heading2"/>
        <w:spacing w:after="0"/>
      </w:pPr>
      <w:bookmarkStart w:id="3" w:name="_Toc114748134"/>
      <w:r w:rsidRPr="004C3042">
        <w:t>The Adults with Incapacity Act</w:t>
      </w:r>
      <w:r>
        <w:t xml:space="preserve"> (Scotland)</w:t>
      </w:r>
      <w:r w:rsidRPr="004C3042">
        <w:t xml:space="preserve"> 2000</w:t>
      </w:r>
      <w:bookmarkEnd w:id="3"/>
    </w:p>
    <w:p w14:paraId="56A08736" w14:textId="77777777" w:rsidR="000F4191" w:rsidRDefault="000F4191" w:rsidP="00FA301C">
      <w:pPr>
        <w:rPr>
          <w:lang w:val="en"/>
        </w:rPr>
      </w:pPr>
      <w:r>
        <w:rPr>
          <w:lang w:val="en"/>
        </w:rPr>
        <w:t xml:space="preserve">The Act aims to protect people who lack capacity to make decisions, but also to support their involvement in making decisions about their own lives as far as they are able to do so. Anyone </w:t>
      </w:r>
      <w:proofErr w:type="spellStart"/>
      <w:r>
        <w:rPr>
          <w:lang w:val="en"/>
        </w:rPr>
        <w:t>authorised</w:t>
      </w:r>
      <w:proofErr w:type="spellEnd"/>
      <w:r>
        <w:rPr>
          <w:lang w:val="en"/>
        </w:rPr>
        <w:t xml:space="preserve"> to make decisions or take actions on behalf of someone with impaired capacity must apply the principles outlines in the act:</w:t>
      </w:r>
    </w:p>
    <w:p w14:paraId="677006CB" w14:textId="77777777" w:rsidR="000F4191" w:rsidRDefault="000F4191" w:rsidP="000F4191"/>
    <w:p w14:paraId="4FC19454" w14:textId="77777777" w:rsidR="000F4191" w:rsidRPr="00F72D8C" w:rsidRDefault="000F4191" w:rsidP="000F4191">
      <w:r w:rsidRPr="008A3772">
        <w:t xml:space="preserve">Where a </w:t>
      </w:r>
      <w:r w:rsidRPr="00F72D8C">
        <w:t xml:space="preserve">family member or other holds Welfare Guardianship staff should be aware of the scope of these powers.  A copy of these powers should be held in the persons Support Plan and all staff need to be aware of these. </w:t>
      </w:r>
    </w:p>
    <w:p w14:paraId="50643AA6" w14:textId="77777777" w:rsidR="000F4191" w:rsidRDefault="000F4191" w:rsidP="000F4191"/>
    <w:p w14:paraId="302ACDDE" w14:textId="77777777" w:rsidR="000F4191" w:rsidRPr="004C3042" w:rsidRDefault="000F4191" w:rsidP="00FA301C">
      <w:pPr>
        <w:pStyle w:val="Heading2"/>
        <w:spacing w:after="0"/>
      </w:pPr>
      <w:bookmarkStart w:id="4" w:name="_Toc114748135"/>
      <w:r>
        <w:t>The H</w:t>
      </w:r>
      <w:r w:rsidRPr="004C3042">
        <w:t>uman Rights Act 1998</w:t>
      </w:r>
      <w:bookmarkEnd w:id="4"/>
    </w:p>
    <w:p w14:paraId="75289623" w14:textId="0CC40293" w:rsidR="000F4191" w:rsidRDefault="000F4191" w:rsidP="00FA301C">
      <w:r w:rsidRPr="00A41773">
        <w:t xml:space="preserve">Particularly relevant is Article 8: The right to private and family life. </w:t>
      </w:r>
      <w:r>
        <w:t xml:space="preserve"> </w:t>
      </w:r>
      <w:r w:rsidRPr="00A41773">
        <w:t xml:space="preserve">Family life can be interpreted in the broadest sense to reflect an individual </w:t>
      </w:r>
      <w:r>
        <w:t>s</w:t>
      </w:r>
      <w:r w:rsidRPr="00A41773">
        <w:t xml:space="preserve">ervice </w:t>
      </w:r>
      <w:r>
        <w:t>u</w:t>
      </w:r>
      <w:r w:rsidRPr="00A41773">
        <w:t xml:space="preserve">ser’s personal sense of family (i.e., it covers more than the “inner circle” of an individual’s life and includes the right </w:t>
      </w:r>
      <w:r w:rsidRPr="00A41773">
        <w:lastRenderedPageBreak/>
        <w:t>to establish and develop relations with others, including personal relationships established in a home, hospital, or workplace)</w:t>
      </w:r>
      <w:r>
        <w:t>.</w:t>
      </w:r>
    </w:p>
    <w:p w14:paraId="56A38643" w14:textId="1949FB0A" w:rsidR="00CA28A6" w:rsidRDefault="00CA28A6" w:rsidP="00C17EB1">
      <w:pPr>
        <w:pStyle w:val="Heading2"/>
      </w:pPr>
    </w:p>
    <w:p w14:paraId="46306EFF" w14:textId="201AE544" w:rsidR="00CA28A6" w:rsidRPr="00FA301C" w:rsidRDefault="00CA28A6" w:rsidP="00C17EB1">
      <w:pPr>
        <w:pStyle w:val="Heading2"/>
        <w:rPr>
          <w:bCs/>
        </w:rPr>
      </w:pPr>
      <w:bookmarkStart w:id="5" w:name="_Toc114748136"/>
      <w:r w:rsidRPr="00FA301C">
        <w:rPr>
          <w:bCs/>
        </w:rPr>
        <w:t>Anne’s Law</w:t>
      </w:r>
      <w:bookmarkEnd w:id="5"/>
    </w:p>
    <w:p w14:paraId="3114AA69" w14:textId="24F8E46F" w:rsidR="000F4191" w:rsidRPr="00FA301C" w:rsidRDefault="00CA28A6" w:rsidP="000F4191">
      <w:r w:rsidRPr="00FA301C">
        <w:t>Anne’</w:t>
      </w:r>
      <w:r w:rsidR="00DD61BC" w:rsidRPr="00FA301C">
        <w:t>s</w:t>
      </w:r>
      <w:r w:rsidRPr="00FA301C">
        <w:t xml:space="preserve"> Law has its basis in campaign by a daughter who was unable to see her mother during the Covid-19 pandemic.</w:t>
      </w:r>
      <w:r w:rsidR="00DD61BC" w:rsidRPr="00FA301C">
        <w:t xml:space="preserve">  The law gives nominated relatives the same access rights as staff even when restrictions are in place.</w:t>
      </w:r>
      <w:r w:rsidRPr="00FA301C">
        <w:t xml:space="preserve">  Anne’s Law </w:t>
      </w:r>
      <w:r w:rsidR="00DD61BC" w:rsidRPr="00FA301C">
        <w:t>is to be</w:t>
      </w:r>
      <w:r w:rsidRPr="00FA301C">
        <w:t xml:space="preserve"> incorporated in statute into new National Care Service legislation.</w:t>
      </w:r>
    </w:p>
    <w:p w14:paraId="7D3D5C3A" w14:textId="19E2FD28" w:rsidR="00E6157B" w:rsidRDefault="00E6157B" w:rsidP="000F4191"/>
    <w:p w14:paraId="3416AE57" w14:textId="77777777" w:rsidR="00C17EB1" w:rsidRDefault="00C17EB1" w:rsidP="000F4191"/>
    <w:p w14:paraId="37E4F88E" w14:textId="570058B5" w:rsidR="00434654" w:rsidRDefault="00434654" w:rsidP="00434654">
      <w:pPr>
        <w:pStyle w:val="Heading2"/>
      </w:pPr>
      <w:bookmarkStart w:id="6" w:name="_Toc114748137"/>
      <w:r>
        <w:t xml:space="preserve">People </w:t>
      </w:r>
      <w:r w:rsidR="00CC5E60">
        <w:t>W</w:t>
      </w:r>
      <w:r>
        <w:t>e Support Receiving V</w:t>
      </w:r>
      <w:r w:rsidRPr="005E14CF">
        <w:t>isitors</w:t>
      </w:r>
      <w:bookmarkEnd w:id="6"/>
    </w:p>
    <w:p w14:paraId="66202A23" w14:textId="2AAA2A79" w:rsidR="00434654" w:rsidRDefault="00434654" w:rsidP="00434654">
      <w:r w:rsidRPr="00142E7C">
        <w:t xml:space="preserve">Inspire promotes that </w:t>
      </w:r>
      <w:r>
        <w:t>the people we support</w:t>
      </w:r>
      <w:r w:rsidRPr="00142E7C">
        <w:t xml:space="preserve"> should be in a position to welcome guest</w:t>
      </w:r>
      <w:r>
        <w:t>s</w:t>
      </w:r>
      <w:r w:rsidRPr="00142E7C">
        <w:t xml:space="preserve"> into the</w:t>
      </w:r>
      <w:r>
        <w:t xml:space="preserve">ir home </w:t>
      </w:r>
      <w:r w:rsidRPr="00142E7C">
        <w:t>and staff will ensure that</w:t>
      </w:r>
      <w:r>
        <w:t xml:space="preserve"> these </w:t>
      </w:r>
      <w:r w:rsidRPr="00142E7C">
        <w:t>vis</w:t>
      </w:r>
      <w:r>
        <w:t>itors</w:t>
      </w:r>
      <w:r w:rsidRPr="00142E7C">
        <w:t xml:space="preserve"> have permission before</w:t>
      </w:r>
      <w:r>
        <w:t xml:space="preserve"> they enter the people we support</w:t>
      </w:r>
      <w:r w:rsidR="00DC6FAF">
        <w:t>’</w:t>
      </w:r>
      <w:r>
        <w:t>s home. T</w:t>
      </w:r>
      <w:r w:rsidRPr="00142E7C">
        <w:t xml:space="preserve">hey will also protect </w:t>
      </w:r>
      <w:r>
        <w:t xml:space="preserve">those we support </w:t>
      </w:r>
      <w:r w:rsidRPr="00142E7C">
        <w:t>from unwanted attention</w:t>
      </w:r>
      <w:r>
        <w:t>.</w:t>
      </w:r>
    </w:p>
    <w:p w14:paraId="7AFD76A6" w14:textId="77777777" w:rsidR="00434654" w:rsidRPr="00142E7C" w:rsidRDefault="00434654" w:rsidP="00434654"/>
    <w:p w14:paraId="68BDBAC2" w14:textId="1F9195F2" w:rsidR="00434654" w:rsidRDefault="00434654" w:rsidP="00BD4877">
      <w:pPr>
        <w:spacing w:line="276" w:lineRule="auto"/>
      </w:pPr>
      <w:r>
        <w:t>Staff will assist and encourage the people we support</w:t>
      </w:r>
      <w:r w:rsidRPr="00142E7C">
        <w:t xml:space="preserve"> to arrange meetings with visitors, a</w:t>
      </w:r>
      <w:r>
        <w:t>nd to provide refreshments and m</w:t>
      </w:r>
      <w:r w:rsidRPr="00142E7C">
        <w:t>eal</w:t>
      </w:r>
      <w:r>
        <w:t>s</w:t>
      </w:r>
      <w:r w:rsidRPr="00142E7C">
        <w:t xml:space="preserve"> as appropriate. Staff will ensure that </w:t>
      </w:r>
      <w:r>
        <w:t>the people we support can</w:t>
      </w:r>
      <w:r w:rsidRPr="00142E7C">
        <w:t xml:space="preserve"> entertain visit</w:t>
      </w:r>
      <w:r>
        <w:t>ors</w:t>
      </w:r>
      <w:r w:rsidRPr="00142E7C">
        <w:t xml:space="preserve"> and friends in private</w:t>
      </w:r>
      <w:r>
        <w:t xml:space="preserve"> if appropriate.</w:t>
      </w:r>
    </w:p>
    <w:p w14:paraId="2F322E45" w14:textId="77777777" w:rsidR="00F36632" w:rsidRDefault="00F36632" w:rsidP="00BD4877">
      <w:pPr>
        <w:spacing w:line="276" w:lineRule="auto"/>
      </w:pPr>
    </w:p>
    <w:p w14:paraId="3EF6DD38" w14:textId="3129FBE9" w:rsidR="00F36632" w:rsidRDefault="00B73F12" w:rsidP="00BD4877">
      <w:pPr>
        <w:pStyle w:val="NormalWeb"/>
        <w:shd w:val="clear" w:color="auto" w:fill="FFFFFF"/>
        <w:spacing w:before="0" w:beforeAutospacing="0" w:after="0" w:afterAutospacing="0" w:line="276" w:lineRule="auto"/>
        <w:rPr>
          <w:rFonts w:ascii="Arial" w:hAnsi="Arial" w:cs="Arial"/>
        </w:rPr>
      </w:pPr>
      <w:r w:rsidRPr="00FA301C">
        <w:rPr>
          <w:rFonts w:ascii="Arial" w:hAnsi="Arial" w:cs="Arial"/>
        </w:rPr>
        <w:t xml:space="preserve">Updated Health &amp; Social </w:t>
      </w:r>
      <w:r w:rsidR="00AA5218">
        <w:rPr>
          <w:rFonts w:ascii="Arial" w:hAnsi="Arial" w:cs="Arial"/>
        </w:rPr>
        <w:t>C</w:t>
      </w:r>
      <w:r w:rsidRPr="00FA301C">
        <w:rPr>
          <w:rFonts w:ascii="Arial" w:hAnsi="Arial" w:cs="Arial"/>
        </w:rPr>
        <w:t>are Standards published</w:t>
      </w:r>
      <w:r w:rsidR="004D17D8" w:rsidRPr="00FA301C">
        <w:rPr>
          <w:rFonts w:ascii="Arial" w:hAnsi="Arial" w:cs="Arial"/>
        </w:rPr>
        <w:t xml:space="preserve"> by the Scottish Government</w:t>
      </w:r>
      <w:r w:rsidRPr="00FA301C">
        <w:rPr>
          <w:rFonts w:ascii="Arial" w:hAnsi="Arial" w:cs="Arial"/>
        </w:rPr>
        <w:t xml:space="preserve"> on the </w:t>
      </w:r>
    </w:p>
    <w:p w14:paraId="5EF23E0C" w14:textId="63216171" w:rsidR="00B73F12" w:rsidRPr="00FA301C" w:rsidRDefault="005A63A6" w:rsidP="00BD4877">
      <w:pPr>
        <w:pStyle w:val="NormalWeb"/>
        <w:shd w:val="clear" w:color="auto" w:fill="FFFFFF"/>
        <w:spacing w:before="0" w:beforeAutospacing="0" w:after="0" w:afterAutospacing="0" w:line="276" w:lineRule="auto"/>
        <w:rPr>
          <w:rFonts w:ascii="Arial" w:eastAsia="Times New Roman" w:hAnsi="Arial" w:cs="Arial"/>
        </w:rPr>
      </w:pPr>
      <w:r w:rsidRPr="00FA301C">
        <w:rPr>
          <w:rFonts w:ascii="Arial" w:hAnsi="Arial" w:cs="Arial"/>
        </w:rPr>
        <w:t>31</w:t>
      </w:r>
      <w:r w:rsidRPr="00FA301C">
        <w:rPr>
          <w:rFonts w:ascii="Arial" w:hAnsi="Arial" w:cs="Arial"/>
          <w:vertAlign w:val="superscript"/>
        </w:rPr>
        <w:t xml:space="preserve">st </w:t>
      </w:r>
      <w:r w:rsidR="00B73F12" w:rsidRPr="00FA301C">
        <w:rPr>
          <w:rFonts w:ascii="Arial" w:hAnsi="Arial" w:cs="Arial"/>
        </w:rPr>
        <w:t xml:space="preserve">March 2022 </w:t>
      </w:r>
      <w:r w:rsidR="00B73F12" w:rsidRPr="00FA301C">
        <w:rPr>
          <w:rFonts w:ascii="Arial" w:eastAsia="Times New Roman" w:hAnsi="Arial" w:cs="Arial"/>
        </w:rPr>
        <w:t xml:space="preserve">reinforced the rights of people to have visits and </w:t>
      </w:r>
      <w:r w:rsidR="00DD61BC" w:rsidRPr="00FA301C">
        <w:rPr>
          <w:rFonts w:ascii="Arial" w:eastAsia="Times New Roman" w:hAnsi="Arial" w:cs="Arial"/>
        </w:rPr>
        <w:t>support</w:t>
      </w:r>
      <w:r w:rsidR="00B73F12" w:rsidRPr="00FA301C">
        <w:rPr>
          <w:rFonts w:ascii="Arial" w:eastAsia="Times New Roman" w:hAnsi="Arial" w:cs="Arial"/>
        </w:rPr>
        <w:t xml:space="preserve"> from loved ones and </w:t>
      </w:r>
      <w:r w:rsidR="00DD61BC" w:rsidRPr="00FA301C">
        <w:rPr>
          <w:rFonts w:ascii="Arial" w:eastAsia="Times New Roman" w:hAnsi="Arial" w:cs="Arial"/>
        </w:rPr>
        <w:t>brought</w:t>
      </w:r>
      <w:r w:rsidR="00B73F12" w:rsidRPr="00FA301C">
        <w:rPr>
          <w:rFonts w:ascii="Arial" w:eastAsia="Times New Roman" w:hAnsi="Arial" w:cs="Arial"/>
        </w:rPr>
        <w:t xml:space="preserve"> Anne’s Law into practical effect while legislation is being prepared.</w:t>
      </w:r>
    </w:p>
    <w:p w14:paraId="4F184F76" w14:textId="77777777" w:rsidR="00F36632" w:rsidRDefault="00B73F12" w:rsidP="00BD4877">
      <w:pPr>
        <w:shd w:val="clear" w:color="auto" w:fill="FFFFFF"/>
        <w:spacing w:after="240" w:line="276" w:lineRule="auto"/>
        <w:jc w:val="left"/>
        <w:rPr>
          <w:rFonts w:eastAsia="Times New Roman"/>
          <w:lang w:eastAsia="en-GB"/>
        </w:rPr>
      </w:pPr>
      <w:r w:rsidRPr="00FA301C">
        <w:rPr>
          <w:rFonts w:eastAsia="Times New Roman"/>
          <w:lang w:eastAsia="en-GB"/>
        </w:rPr>
        <w:t>Two new Standards set out the expectation that people living in care homes should have the right to see someone who is dear to them, even during a Covid-19 outbreak, and be able to name a person or persons who can directly participate in meeting their care needs.</w:t>
      </w:r>
    </w:p>
    <w:p w14:paraId="0E434AEC" w14:textId="72AD50C2" w:rsidR="00B73F12" w:rsidRPr="00FA301C" w:rsidRDefault="007674AD" w:rsidP="00FA301C">
      <w:pPr>
        <w:shd w:val="clear" w:color="auto" w:fill="FFFFFF"/>
        <w:spacing w:after="240" w:line="276" w:lineRule="auto"/>
        <w:jc w:val="left"/>
        <w:rPr>
          <w:rFonts w:eastAsia="Times New Roman"/>
          <w:lang w:eastAsia="en-GB"/>
        </w:rPr>
      </w:pPr>
      <w:r w:rsidRPr="00FA301C">
        <w:rPr>
          <w:rFonts w:eastAsia="Times New Roman"/>
          <w:lang w:eastAsia="en-GB"/>
        </w:rPr>
        <w:t>The new standards are:</w:t>
      </w:r>
    </w:p>
    <w:p w14:paraId="5A431CAA" w14:textId="77777777" w:rsidR="007674AD" w:rsidRPr="00FA301C" w:rsidRDefault="007674AD" w:rsidP="00FA301C">
      <w:pPr>
        <w:numPr>
          <w:ilvl w:val="0"/>
          <w:numId w:val="15"/>
        </w:numPr>
        <w:shd w:val="clear" w:color="auto" w:fill="FFFFFF"/>
        <w:spacing w:before="100" w:beforeAutospacing="1" w:after="120" w:line="276" w:lineRule="auto"/>
        <w:ind w:left="1080"/>
        <w:jc w:val="left"/>
        <w:rPr>
          <w:rFonts w:eastAsia="Times New Roman"/>
          <w:lang w:eastAsia="en-GB"/>
        </w:rPr>
      </w:pPr>
      <w:r w:rsidRPr="00FA301C">
        <w:rPr>
          <w:rFonts w:eastAsia="Times New Roman"/>
          <w:lang w:eastAsia="en-GB"/>
        </w:rPr>
        <w:t>If I am an adult living in a care home and restrictions to routine visiting are needed to prevent infection, I can nominate relatives/friends (and substitutes) to visit me.  My nominated relatives/friends will be supported by the care home to see me in person day-to-day and to be directly involved in providing my care and support if that is what I want </w:t>
      </w:r>
    </w:p>
    <w:p w14:paraId="5BAF8C8F" w14:textId="02381AEE" w:rsidR="007674AD" w:rsidRPr="00FA301C" w:rsidRDefault="007674AD" w:rsidP="00FA301C">
      <w:pPr>
        <w:numPr>
          <w:ilvl w:val="0"/>
          <w:numId w:val="15"/>
        </w:numPr>
        <w:shd w:val="clear" w:color="auto" w:fill="FFFFFF"/>
        <w:spacing w:before="100" w:beforeAutospacing="1" w:line="276" w:lineRule="auto"/>
        <w:ind w:left="1080"/>
        <w:jc w:val="left"/>
        <w:rPr>
          <w:rFonts w:eastAsia="Times New Roman"/>
          <w:lang w:eastAsia="en-GB"/>
        </w:rPr>
      </w:pPr>
      <w:r w:rsidRPr="00FA301C">
        <w:rPr>
          <w:rFonts w:eastAsia="Times New Roman"/>
          <w:lang w:eastAsia="en-GB"/>
        </w:rPr>
        <w:t>If I am an adult living in a care home, I can nominate relatives/friends (and substitutes), who will be supported by the care home to be directly involved in providing my day-to-day care and support if that is what I want</w:t>
      </w:r>
    </w:p>
    <w:p w14:paraId="3D6DCEF7" w14:textId="678D1BB5" w:rsidR="00E6157B" w:rsidRDefault="00E6157B" w:rsidP="00FA301C">
      <w:pPr>
        <w:shd w:val="clear" w:color="auto" w:fill="FFFFFF"/>
        <w:spacing w:line="276" w:lineRule="auto"/>
        <w:ind w:left="1080"/>
        <w:jc w:val="left"/>
        <w:rPr>
          <w:rFonts w:eastAsia="Times New Roman"/>
          <w:lang w:eastAsia="en-GB"/>
        </w:rPr>
      </w:pPr>
    </w:p>
    <w:p w14:paraId="27DF52CA" w14:textId="3BFEA418" w:rsidR="00FA301C" w:rsidRDefault="00E6157B" w:rsidP="00FA301C">
      <w:pPr>
        <w:shd w:val="clear" w:color="auto" w:fill="FFFFFF"/>
        <w:spacing w:line="240" w:lineRule="auto"/>
        <w:jc w:val="left"/>
        <w:rPr>
          <w:rFonts w:eastAsia="Times New Roman"/>
          <w:lang w:eastAsia="en-GB"/>
        </w:rPr>
      </w:pPr>
      <w:r w:rsidRPr="00FA301C">
        <w:rPr>
          <w:rFonts w:eastAsia="Times New Roman"/>
          <w:lang w:eastAsia="en-GB"/>
        </w:rPr>
        <w:t>Further guidance can be found at:</w:t>
      </w:r>
    </w:p>
    <w:p w14:paraId="32EA0FED" w14:textId="77777777" w:rsidR="00FA301C" w:rsidRPr="00FA301C" w:rsidRDefault="00FA301C" w:rsidP="00FA301C">
      <w:pPr>
        <w:shd w:val="clear" w:color="auto" w:fill="FFFFFF"/>
        <w:spacing w:line="240" w:lineRule="auto"/>
        <w:jc w:val="left"/>
        <w:rPr>
          <w:rFonts w:eastAsia="Times New Roman"/>
          <w:lang w:eastAsia="en-GB"/>
        </w:rPr>
      </w:pPr>
    </w:p>
    <w:p w14:paraId="242F3C24" w14:textId="3D77E7A6" w:rsidR="00A810A6" w:rsidRPr="00FA301C" w:rsidRDefault="00A810A6" w:rsidP="00FA301C">
      <w:pPr>
        <w:shd w:val="clear" w:color="auto" w:fill="FFFFFF"/>
        <w:spacing w:line="240" w:lineRule="auto"/>
        <w:jc w:val="left"/>
        <w:rPr>
          <w:rStyle w:val="Hyperlink"/>
          <w:color w:val="0000FF"/>
          <w:u w:val="none"/>
        </w:rPr>
      </w:pPr>
      <w:r w:rsidRPr="00FA301C">
        <w:rPr>
          <w:rStyle w:val="Hyperlink"/>
          <w:color w:val="0000FF"/>
          <w:u w:val="none"/>
        </w:rPr>
        <w:t>https://www.gov.scot/publications/health-social-care-standards-support-life/</w:t>
      </w:r>
    </w:p>
    <w:p w14:paraId="32E34F54" w14:textId="469DFD2D" w:rsidR="00B73F12" w:rsidRDefault="00B73F12" w:rsidP="00B73F12"/>
    <w:p w14:paraId="6DC1CE63" w14:textId="77777777" w:rsidR="00B73F12" w:rsidRPr="00B73F12" w:rsidRDefault="00B73F12" w:rsidP="00B73F12"/>
    <w:p w14:paraId="5DA65473" w14:textId="4287FEF8" w:rsidR="005715DA" w:rsidRPr="00C17EB1" w:rsidRDefault="00C87279" w:rsidP="00C87279">
      <w:pPr>
        <w:pStyle w:val="Heading1"/>
      </w:pPr>
      <w:bookmarkStart w:id="7" w:name="_Toc114748138"/>
      <w:r w:rsidRPr="00C17EB1">
        <w:t>Visiting Arrangements</w:t>
      </w:r>
      <w:r w:rsidR="00183C00" w:rsidRPr="00C17EB1">
        <w:t xml:space="preserve"> for </w:t>
      </w:r>
      <w:r w:rsidR="00E6157B" w:rsidRPr="00C17EB1">
        <w:t>Symptomatic or Asymptomatic Visitors</w:t>
      </w:r>
      <w:bookmarkEnd w:id="7"/>
      <w:r w:rsidR="00E6157B" w:rsidRPr="00C17EB1">
        <w:t xml:space="preserve"> </w:t>
      </w:r>
    </w:p>
    <w:p w14:paraId="291DC247" w14:textId="5C189ED3" w:rsidR="00183C00" w:rsidRPr="00C8048C" w:rsidRDefault="00183C00" w:rsidP="00C8048C">
      <w:pPr>
        <w:pStyle w:val="Heading2"/>
      </w:pPr>
      <w:bookmarkStart w:id="8" w:name="_Toc114748139"/>
      <w:r w:rsidRPr="00C8048C">
        <w:t xml:space="preserve">Symptomatic </w:t>
      </w:r>
      <w:r w:rsidR="00DC281C" w:rsidRPr="00C8048C">
        <w:t>V</w:t>
      </w:r>
      <w:r w:rsidRPr="00C8048C">
        <w:t>isitors</w:t>
      </w:r>
      <w:bookmarkEnd w:id="8"/>
      <w:r w:rsidRPr="00C8048C">
        <w:t xml:space="preserve"> </w:t>
      </w:r>
    </w:p>
    <w:p w14:paraId="3F9E7A99" w14:textId="29E96574" w:rsidR="000965CF" w:rsidRDefault="00183C00" w:rsidP="00183C00">
      <w:r w:rsidRPr="00C17EB1">
        <w:t xml:space="preserve">Visitors should not visit a service if they have symptoms of Covid-19, flu or other respiratory infection (listed below) or if they have tested positive for Covid-19.  Under any of these circumstances they should follow the Scottish Government “stay at home guidance”. </w:t>
      </w:r>
      <w:hyperlink r:id="rId22" w:history="1">
        <w:r w:rsidR="000965CF" w:rsidRPr="00D1404A">
          <w:rPr>
            <w:rStyle w:val="Hyperlink"/>
          </w:rPr>
          <w:t>https://www.nhsinform.scot/campaigns/covid-sense</w:t>
        </w:r>
      </w:hyperlink>
      <w:r w:rsidR="000965CF">
        <w:t>.</w:t>
      </w:r>
    </w:p>
    <w:p w14:paraId="75B2E2F3" w14:textId="29A5258E" w:rsidR="00183C00" w:rsidRPr="00C17EB1" w:rsidRDefault="00183C00" w:rsidP="00183C00">
      <w:r w:rsidRPr="00C17EB1">
        <w:t xml:space="preserve"> </w:t>
      </w:r>
    </w:p>
    <w:p w14:paraId="6AB97737" w14:textId="54B9D5DD" w:rsidR="00183C00" w:rsidRDefault="00183C00" w:rsidP="00183C00">
      <w:pPr>
        <w:spacing w:line="276" w:lineRule="auto"/>
        <w:rPr>
          <w:rFonts w:eastAsia="Arial"/>
        </w:rPr>
      </w:pPr>
      <w:r w:rsidRPr="00C17EB1">
        <w:rPr>
          <w:rFonts w:eastAsia="Arial"/>
        </w:rPr>
        <w:t>Symptoms of COVID-19, flu and other common respiratory infections include:</w:t>
      </w:r>
    </w:p>
    <w:p w14:paraId="784E6629" w14:textId="77777777" w:rsidR="00EA26DE" w:rsidRPr="00C17EB1" w:rsidRDefault="00EA26DE" w:rsidP="00183C00">
      <w:pPr>
        <w:spacing w:line="276" w:lineRule="auto"/>
        <w:rPr>
          <w:rFonts w:eastAsia="Arial"/>
        </w:rPr>
      </w:pPr>
    </w:p>
    <w:p w14:paraId="681F6B65"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 xml:space="preserve">continuous cough (this means the person will be coughing a lot for more than an hour or have three or more coughing episodes in 24 hours).   </w:t>
      </w:r>
    </w:p>
    <w:p w14:paraId="1867E98B"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high temperature (over 37.8</w:t>
      </w:r>
      <w:r w:rsidRPr="00C17EB1">
        <w:rPr>
          <w:rFonts w:eastAsia="Arial"/>
          <w:vertAlign w:val="superscript"/>
        </w:rPr>
        <w:t>o</w:t>
      </w:r>
      <w:r w:rsidRPr="00C17EB1">
        <w:rPr>
          <w:rFonts w:eastAsia="Arial"/>
        </w:rPr>
        <w:t xml:space="preserve">C), fever or chills </w:t>
      </w:r>
    </w:p>
    <w:p w14:paraId="657749E4"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loss of, or change in, your normal sense of taste or smell</w:t>
      </w:r>
    </w:p>
    <w:p w14:paraId="2C5AAC36"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shortness of breath</w:t>
      </w:r>
    </w:p>
    <w:p w14:paraId="2D8D5B2D"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unexplained tiredness, lack of energy</w:t>
      </w:r>
    </w:p>
    <w:p w14:paraId="22EF92BC"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muscle aches or pains that are not due to exercise</w:t>
      </w:r>
    </w:p>
    <w:p w14:paraId="5BDCF16A"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not wanting to eat or not feeling hungry</w:t>
      </w:r>
    </w:p>
    <w:p w14:paraId="46265569"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headache that is unusual or longer lasting than usual</w:t>
      </w:r>
    </w:p>
    <w:p w14:paraId="47A7782F"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sore throat, stuffy or runny nose</w:t>
      </w:r>
    </w:p>
    <w:p w14:paraId="7EBA7125" w14:textId="77777777" w:rsidR="00183C00" w:rsidRPr="00C17EB1" w:rsidRDefault="00183C00" w:rsidP="00EA26DE">
      <w:pPr>
        <w:pStyle w:val="ListParagraph"/>
        <w:numPr>
          <w:ilvl w:val="0"/>
          <w:numId w:val="18"/>
        </w:numPr>
        <w:spacing w:line="276" w:lineRule="auto"/>
        <w:ind w:left="851" w:hanging="425"/>
        <w:rPr>
          <w:rFonts w:eastAsia="Arial"/>
        </w:rPr>
      </w:pPr>
      <w:r w:rsidRPr="00C17EB1">
        <w:rPr>
          <w:rFonts w:eastAsia="Arial"/>
        </w:rPr>
        <w:t>diarrhoea, feeling sick or being sick</w:t>
      </w:r>
    </w:p>
    <w:p w14:paraId="5193A2FC" w14:textId="123A3124" w:rsidR="00183C00" w:rsidRDefault="00183C00" w:rsidP="00E6157B">
      <w:pPr>
        <w:spacing w:before="100" w:beforeAutospacing="1" w:after="100" w:afterAutospacing="1" w:line="276" w:lineRule="auto"/>
        <w:rPr>
          <w:rFonts w:eastAsia="Times New Roman"/>
          <w:lang w:eastAsia="en-GB"/>
        </w:rPr>
      </w:pPr>
      <w:r w:rsidRPr="00C17EB1">
        <w:rPr>
          <w:rFonts w:eastAsia="Times New Roman"/>
          <w:lang w:eastAsia="en-GB"/>
        </w:rPr>
        <w:t>Visitors should not visit for 10 days from the date of positive COVID-19 test or from the date of symptom onset, whichever comes first.  A visit may take place once symptoms are beginning to resolve, including fever where this has been present and the visitor is generally feeling well again.</w:t>
      </w:r>
    </w:p>
    <w:p w14:paraId="5D7BF330" w14:textId="1CF77976" w:rsidR="00530939" w:rsidRPr="00C8048C" w:rsidRDefault="00530939" w:rsidP="00C8048C">
      <w:pPr>
        <w:pStyle w:val="Heading1"/>
      </w:pPr>
      <w:bookmarkStart w:id="9" w:name="_Toc114748140"/>
      <w:r w:rsidRPr="00C8048C">
        <w:t>Visiting someone who is symptomatic or COVID-19 diagnosed (when no outbreak has been declared)</w:t>
      </w:r>
      <w:bookmarkEnd w:id="9"/>
    </w:p>
    <w:p w14:paraId="33F05E82" w14:textId="5B6AEC60" w:rsidR="00530939" w:rsidRPr="00C21782" w:rsidRDefault="000830A2" w:rsidP="00B17336">
      <w:pPr>
        <w:rPr>
          <w:b/>
        </w:rPr>
      </w:pPr>
      <w:r w:rsidRPr="00C21782">
        <w:t xml:space="preserve">If a service user has tested positive for COVID-19 or has symptoms consistent with COVID-19 infection, visiting can be supported, following a risk assessment involving Public Health.  People we support can receive one visitor per day in their private room during the stay at home period. The visitor must adhere to IPC measures and only enter the person we support’s private room. They should avoid other areas of the setting and minimise the time </w:t>
      </w:r>
      <w:r w:rsidRPr="00C21782">
        <w:lastRenderedPageBreak/>
        <w:t>spent passing through corridors as much as possible. The visitor should not be symptomatic of COVID-19, or a confirmed case themselves, during the period they are visiting. They should avoid visiting the setting if they live with someone following the stay at home guidance for people with respiratory symptoms.</w:t>
      </w:r>
    </w:p>
    <w:p w14:paraId="4E8C3549" w14:textId="77777777" w:rsidR="00530939" w:rsidRPr="00B17336" w:rsidRDefault="00530939" w:rsidP="00B17336">
      <w:pPr>
        <w:rPr>
          <w:b/>
        </w:rPr>
      </w:pPr>
    </w:p>
    <w:p w14:paraId="578CBF44" w14:textId="2BF419BD" w:rsidR="00CC5E60" w:rsidRPr="00B17336" w:rsidRDefault="00CC5E60" w:rsidP="00CC5E60">
      <w:pPr>
        <w:pStyle w:val="Heading2"/>
        <w:rPr>
          <w:sz w:val="24"/>
          <w:szCs w:val="24"/>
        </w:rPr>
      </w:pPr>
      <w:bookmarkStart w:id="10" w:name="_Toc114748141"/>
      <w:r w:rsidRPr="00B17336">
        <w:rPr>
          <w:sz w:val="24"/>
          <w:szCs w:val="24"/>
        </w:rPr>
        <w:t>Visiting someone who is symptomatic or during an outbreak</w:t>
      </w:r>
      <w:bookmarkEnd w:id="10"/>
      <w:r w:rsidRPr="00B17336">
        <w:rPr>
          <w:sz w:val="24"/>
          <w:szCs w:val="24"/>
        </w:rPr>
        <w:t xml:space="preserve"> </w:t>
      </w:r>
    </w:p>
    <w:p w14:paraId="4D928345" w14:textId="30163EC0" w:rsidR="00CC5E60" w:rsidRPr="00C17EB1" w:rsidRDefault="00CC5E60" w:rsidP="00CC5E60">
      <w:r w:rsidRPr="00C17EB1">
        <w:t xml:space="preserve">Visiting a person we support who is symptomatic or during an outbreak, which has </w:t>
      </w:r>
      <w:r w:rsidR="00D90AC7" w:rsidRPr="00C17EB1">
        <w:t>been advised</w:t>
      </w:r>
      <w:r w:rsidRPr="00C17EB1">
        <w:t xml:space="preserve"> by Public Health, should continue to be supported following a risk assessment.  Arrangements for visitors during an outbreak is through the “named Visitor </w:t>
      </w:r>
      <w:r w:rsidR="00D90AC7" w:rsidRPr="00C17EB1">
        <w:t>Initiative” as</w:t>
      </w:r>
      <w:r w:rsidRPr="00C17EB1">
        <w:t xml:space="preserve"> referred to </w:t>
      </w:r>
      <w:r w:rsidR="004D17D8" w:rsidRPr="00C17EB1">
        <w:t>in “</w:t>
      </w:r>
      <w:r w:rsidRPr="00C17EB1">
        <w:t xml:space="preserve">People We Support Receiving Visitors” section above. </w:t>
      </w:r>
    </w:p>
    <w:p w14:paraId="1226A807" w14:textId="7008C013" w:rsidR="00CC5E60" w:rsidRPr="00C17EB1" w:rsidRDefault="00CC5E60" w:rsidP="00CC5E60"/>
    <w:p w14:paraId="1ABD8733" w14:textId="15547706" w:rsidR="00CC5E60" w:rsidRDefault="00CC5E60" w:rsidP="00CC5E60">
      <w:r w:rsidRPr="00C17EB1">
        <w:t xml:space="preserve">The </w:t>
      </w:r>
      <w:r w:rsidR="00842965" w:rsidRPr="00C17EB1">
        <w:t xml:space="preserve">“named visitor” policy is a framework which allows the people we support to nominate three named visitors, one of whom may visit the service in their private room each day during periods of restricted visiting (if the person we support is self-isolating </w:t>
      </w:r>
      <w:r w:rsidR="008117A4">
        <w:t xml:space="preserve">or </w:t>
      </w:r>
      <w:r w:rsidR="00842965" w:rsidRPr="00C17EB1">
        <w:t>during an outbreak</w:t>
      </w:r>
      <w:r w:rsidR="00842965" w:rsidRPr="00360965">
        <w:t xml:space="preserve">). </w:t>
      </w:r>
      <w:r w:rsidR="0025658A" w:rsidRPr="00360965">
        <w:t xml:space="preserve">If visiting is allowed the named visitor </w:t>
      </w:r>
      <w:r w:rsidR="003530CE" w:rsidRPr="00360965">
        <w:t xml:space="preserve">can choose not to wear a face covering within the </w:t>
      </w:r>
      <w:r w:rsidR="00A95C17" w:rsidRPr="00360965">
        <w:t xml:space="preserve">people we support’s </w:t>
      </w:r>
      <w:r w:rsidR="003530CE" w:rsidRPr="00360965">
        <w:t xml:space="preserve">personal room, however </w:t>
      </w:r>
      <w:r w:rsidR="00F5658D">
        <w:t xml:space="preserve">if the person we support wishes face masks to be worn this should be supported. </w:t>
      </w:r>
      <w:r w:rsidR="003530CE" w:rsidRPr="00360965">
        <w:t xml:space="preserve">. </w:t>
      </w:r>
      <w:r w:rsidR="003530CE">
        <w:t xml:space="preserve">During an outbreak visitors </w:t>
      </w:r>
      <w:r w:rsidR="0025658A" w:rsidRPr="00C17EB1">
        <w:t>should wear a face mask at all times and also maintain physical distancing as advised in the .</w:t>
      </w:r>
      <w:r w:rsidR="008117A4" w:rsidRPr="008117A4">
        <w:t xml:space="preserve"> </w:t>
      </w:r>
      <w:hyperlink r:id="rId23" w:history="1">
        <w:r w:rsidR="00C21782" w:rsidRPr="00C957A5">
          <w:rPr>
            <w:rStyle w:val="Hyperlink"/>
          </w:rPr>
          <w:t>https://www.nipcm.hps.scot.nhs.uk/web-resources-container/appendix-22-community-ipc-covid-19/</w:t>
        </w:r>
      </w:hyperlink>
    </w:p>
    <w:p w14:paraId="5A4B535C" w14:textId="77777777" w:rsidR="00C21782" w:rsidRPr="00C17EB1" w:rsidRDefault="00C21782" w:rsidP="00CC5E60"/>
    <w:p w14:paraId="5FEB40B5" w14:textId="2FFAFBDD" w:rsidR="0025658A" w:rsidRDefault="00842965" w:rsidP="001B172F">
      <w:pPr>
        <w:spacing w:before="100" w:beforeAutospacing="1" w:after="100" w:afterAutospacing="1" w:line="276" w:lineRule="auto"/>
        <w:rPr>
          <w:rFonts w:eastAsia="Times New Roman"/>
          <w:lang w:eastAsia="en-GB"/>
        </w:rPr>
      </w:pPr>
      <w:r w:rsidRPr="00C17EB1">
        <w:rPr>
          <w:rFonts w:eastAsia="Times New Roman"/>
          <w:lang w:eastAsia="en-GB"/>
        </w:rPr>
        <w:t xml:space="preserve">In the event of an outbreak the local HPT will advise on appropriate restrictions </w:t>
      </w:r>
      <w:r w:rsidR="001B172F" w:rsidRPr="00C17EB1">
        <w:rPr>
          <w:rFonts w:eastAsia="Times New Roman"/>
          <w:lang w:eastAsia="en-GB"/>
        </w:rPr>
        <w:t>to</w:t>
      </w:r>
      <w:r w:rsidRPr="00C17EB1">
        <w:rPr>
          <w:rFonts w:eastAsia="Times New Roman"/>
          <w:lang w:eastAsia="en-GB"/>
        </w:rPr>
        <w:t xml:space="preserve"> visiting and attendance at the service. </w:t>
      </w:r>
      <w:r w:rsidR="0025658A" w:rsidRPr="00C17EB1">
        <w:rPr>
          <w:rFonts w:eastAsia="Times New Roman"/>
          <w:lang w:eastAsia="en-GB"/>
        </w:rPr>
        <w:t xml:space="preserve">The “named visitor policy” may be deemed appropriate. </w:t>
      </w:r>
      <w:r w:rsidRPr="00C17EB1">
        <w:rPr>
          <w:rFonts w:eastAsia="Times New Roman"/>
          <w:lang w:eastAsia="en-GB"/>
        </w:rPr>
        <w:t xml:space="preserve">In some </w:t>
      </w:r>
      <w:r w:rsidR="0025658A" w:rsidRPr="00C17EB1">
        <w:rPr>
          <w:rFonts w:eastAsia="Times New Roman"/>
          <w:lang w:eastAsia="en-GB"/>
        </w:rPr>
        <w:t>instances,</w:t>
      </w:r>
      <w:r w:rsidRPr="00C17EB1">
        <w:rPr>
          <w:rFonts w:eastAsia="Times New Roman"/>
          <w:lang w:eastAsia="en-GB"/>
        </w:rPr>
        <w:t xml:space="preserve"> HPT may risk assess that it is necessary to pause this </w:t>
      </w:r>
      <w:r w:rsidR="0025658A" w:rsidRPr="00C17EB1">
        <w:rPr>
          <w:rFonts w:eastAsia="Times New Roman"/>
          <w:lang w:eastAsia="en-GB"/>
        </w:rPr>
        <w:t>initiative</w:t>
      </w:r>
      <w:r w:rsidRPr="00C17EB1">
        <w:rPr>
          <w:rFonts w:eastAsia="Times New Roman"/>
          <w:lang w:eastAsia="en-GB"/>
        </w:rPr>
        <w:t xml:space="preserve"> during an outbreak if there are key concerns which could jeopardise effective outbreak management.</w:t>
      </w:r>
      <w:r w:rsidR="0025658A" w:rsidRPr="00C17EB1">
        <w:rPr>
          <w:rFonts w:eastAsia="Times New Roman"/>
          <w:lang w:eastAsia="en-GB"/>
        </w:rPr>
        <w:t xml:space="preserve">  If this arises, resuming the named visitor initiative is encouraged as soon as possible. Essential visiting should continue regardless. </w:t>
      </w:r>
    </w:p>
    <w:p w14:paraId="47F2258B" w14:textId="77777777" w:rsidR="000830A2" w:rsidRDefault="000830A2" w:rsidP="001B172F">
      <w:pPr>
        <w:spacing w:before="100" w:beforeAutospacing="1" w:after="100" w:afterAutospacing="1" w:line="276" w:lineRule="auto"/>
      </w:pPr>
      <w:r>
        <w:t>Visitor eligibility for a named visitor includes:</w:t>
      </w:r>
    </w:p>
    <w:p w14:paraId="5EDA90B0" w14:textId="77777777" w:rsidR="00051F9F" w:rsidRPr="00C21782" w:rsidRDefault="000830A2" w:rsidP="000830A2">
      <w:pPr>
        <w:pStyle w:val="ListParagraph"/>
        <w:numPr>
          <w:ilvl w:val="0"/>
          <w:numId w:val="20"/>
        </w:numPr>
        <w:spacing w:before="100" w:beforeAutospacing="1" w:after="100" w:afterAutospacing="1" w:line="276" w:lineRule="auto"/>
        <w:ind w:left="426" w:hanging="284"/>
        <w:rPr>
          <w:rFonts w:eastAsia="Times New Roman"/>
          <w:lang w:eastAsia="en-GB"/>
        </w:rPr>
      </w:pPr>
      <w:r>
        <w:t>the named visitor is asymptomatic and not known to be COVID-19 positive</w:t>
      </w:r>
    </w:p>
    <w:p w14:paraId="2189CE97" w14:textId="13B79FDB" w:rsidR="00051F9F" w:rsidRPr="00C21782" w:rsidRDefault="000830A2" w:rsidP="000830A2">
      <w:pPr>
        <w:pStyle w:val="ListParagraph"/>
        <w:numPr>
          <w:ilvl w:val="0"/>
          <w:numId w:val="20"/>
        </w:numPr>
        <w:spacing w:before="100" w:beforeAutospacing="1" w:after="100" w:afterAutospacing="1" w:line="276" w:lineRule="auto"/>
        <w:ind w:left="426" w:hanging="284"/>
        <w:rPr>
          <w:rFonts w:eastAsia="Times New Roman"/>
          <w:lang w:eastAsia="en-GB"/>
        </w:rPr>
      </w:pPr>
      <w:r>
        <w:t>the named visitor has not been identified as a case or known to be in contact with a COVID-19 case in the previous 14 days</w:t>
      </w:r>
    </w:p>
    <w:p w14:paraId="4A9D10B8" w14:textId="7EE4BD7D" w:rsidR="000830A2" w:rsidRPr="00C21782" w:rsidRDefault="000830A2" w:rsidP="000830A2">
      <w:pPr>
        <w:pStyle w:val="ListParagraph"/>
        <w:numPr>
          <w:ilvl w:val="0"/>
          <w:numId w:val="20"/>
        </w:numPr>
        <w:spacing w:before="100" w:beforeAutospacing="1" w:after="100" w:afterAutospacing="1" w:line="276" w:lineRule="auto"/>
        <w:ind w:left="426" w:hanging="284"/>
        <w:rPr>
          <w:rFonts w:eastAsia="Times New Roman"/>
          <w:lang w:eastAsia="en-GB"/>
        </w:rPr>
      </w:pPr>
      <w:r>
        <w:t>the named visitor is strongly encouraged to be fully vaccinated, with at least 14 days having elapsed since the final dose. Although vaccination is recommended it is not a requirement for visitors</w:t>
      </w:r>
    </w:p>
    <w:p w14:paraId="4DD9B475" w14:textId="77777777" w:rsidR="00E37EA8" w:rsidRDefault="00E37EA8" w:rsidP="00051F9F">
      <w:pPr>
        <w:spacing w:before="100" w:beforeAutospacing="1" w:after="100" w:afterAutospacing="1" w:line="276" w:lineRule="auto"/>
      </w:pPr>
      <w:r>
        <w:lastRenderedPageBreak/>
        <w:t xml:space="preserve">Named visitors can visit a COVID-19 positive person we support who may require some comfort in what can be a stressful time. This would require the local HPT's involvement in risk assessing whether 'named person' visits to a positive case can continue, considering the needs of the person and the nature of the outbreak at that time. </w:t>
      </w:r>
    </w:p>
    <w:p w14:paraId="05CFCC2A" w14:textId="77777777" w:rsidR="00E37EA8" w:rsidRPr="00C21782" w:rsidRDefault="00E37EA8" w:rsidP="00E37EA8">
      <w:pPr>
        <w:pStyle w:val="ListParagraph"/>
        <w:numPr>
          <w:ilvl w:val="0"/>
          <w:numId w:val="20"/>
        </w:numPr>
        <w:spacing w:before="100" w:beforeAutospacing="1" w:after="100" w:afterAutospacing="1" w:line="276" w:lineRule="auto"/>
        <w:ind w:left="426" w:hanging="426"/>
        <w:rPr>
          <w:rFonts w:eastAsia="Times New Roman"/>
          <w:lang w:eastAsia="en-GB"/>
        </w:rPr>
      </w:pPr>
      <w:r>
        <w:t>if the person we support they are visiting is diagnosed as a COVID-19 case, the named visitor should wear appropriate PPE as advised in the ARHAI Scotland Community IPC COVID-19 pandemic appendix. They should be supervised and supported by staff on donning and doffing of PPE and maintain optimal physical distancing where possible</w:t>
      </w:r>
    </w:p>
    <w:p w14:paraId="4E2BCAA3" w14:textId="7B6CFD14" w:rsidR="00E37EA8" w:rsidRPr="00C21782" w:rsidRDefault="00E37EA8" w:rsidP="00E37EA8">
      <w:pPr>
        <w:pStyle w:val="ListParagraph"/>
        <w:numPr>
          <w:ilvl w:val="0"/>
          <w:numId w:val="20"/>
        </w:numPr>
        <w:spacing w:before="100" w:beforeAutospacing="1" w:after="100" w:afterAutospacing="1" w:line="276" w:lineRule="auto"/>
        <w:ind w:left="426" w:hanging="426"/>
        <w:rPr>
          <w:rFonts w:eastAsia="Times New Roman"/>
          <w:lang w:eastAsia="en-GB"/>
        </w:rPr>
      </w:pPr>
      <w:r>
        <w:t xml:space="preserve">the named visitor is made aware and understands the risks to themselves in visiting during an outbreak. In particular, if the person we support is found subsequently to be a COVID-19 case. </w:t>
      </w:r>
    </w:p>
    <w:p w14:paraId="1F35EF10" w14:textId="77777777" w:rsidR="00E37EA8" w:rsidRPr="00C21782" w:rsidRDefault="00E37EA8" w:rsidP="00C21782">
      <w:pPr>
        <w:pStyle w:val="ListParagraph"/>
        <w:spacing w:before="100" w:beforeAutospacing="1" w:after="100" w:afterAutospacing="1" w:line="276" w:lineRule="auto"/>
        <w:ind w:left="426"/>
        <w:rPr>
          <w:rFonts w:eastAsia="Times New Roman"/>
          <w:lang w:eastAsia="en-GB"/>
        </w:rPr>
      </w:pPr>
    </w:p>
    <w:p w14:paraId="284666DD" w14:textId="561FFA99" w:rsidR="00051F9F" w:rsidRPr="00C21782" w:rsidRDefault="00E37EA8" w:rsidP="00C21782">
      <w:pPr>
        <w:pStyle w:val="ListParagraph"/>
        <w:spacing w:before="100" w:beforeAutospacing="1" w:after="100" w:afterAutospacing="1" w:line="276" w:lineRule="auto"/>
        <w:ind w:left="0"/>
        <w:rPr>
          <w:rFonts w:eastAsia="Times New Roman"/>
          <w:lang w:eastAsia="en-GB"/>
        </w:rPr>
      </w:pPr>
      <w:r>
        <w:t>Named visitors may, with agreement of the person we support (or their representative) and the staff, provide day to day basic care to support service users’ health and wellbeing. This is complementary to the care from staff and might for example include encouragement to eat and drink.</w:t>
      </w:r>
    </w:p>
    <w:p w14:paraId="27E071D8" w14:textId="7E77FDBA" w:rsidR="00183C00" w:rsidRPr="00C17EB1" w:rsidRDefault="00183C00" w:rsidP="00E6157B">
      <w:pPr>
        <w:pStyle w:val="Heading2"/>
        <w:rPr>
          <w:szCs w:val="22"/>
        </w:rPr>
      </w:pPr>
      <w:bookmarkStart w:id="11" w:name="_Toc114748142"/>
      <w:r w:rsidRPr="00C17EB1">
        <w:t>Asymptomatic Visitors</w:t>
      </w:r>
      <w:bookmarkEnd w:id="11"/>
    </w:p>
    <w:p w14:paraId="58CAF778" w14:textId="0908EF7D" w:rsidR="000965CF" w:rsidRPr="00C17EB1" w:rsidRDefault="000965CF" w:rsidP="00183C00">
      <w:r>
        <w:t xml:space="preserve">Visitors do not need to </w:t>
      </w:r>
      <w:r w:rsidR="0039093E">
        <w:t>undertake</w:t>
      </w:r>
      <w:r>
        <w:t xml:space="preserve"> symptomatic testing to visit but </w:t>
      </w:r>
      <w:r w:rsidR="0039093E">
        <w:t>instead are advised to follow Covid Sense and if not well should not visit family and friends</w:t>
      </w:r>
    </w:p>
    <w:p w14:paraId="6C33334E" w14:textId="77777777" w:rsidR="00434654" w:rsidRDefault="00434654" w:rsidP="00434654">
      <w:pPr>
        <w:rPr>
          <w:b/>
        </w:rPr>
      </w:pPr>
    </w:p>
    <w:p w14:paraId="03441EF7" w14:textId="77777777" w:rsidR="00434654" w:rsidRDefault="00434654" w:rsidP="00434654">
      <w:pPr>
        <w:rPr>
          <w:b/>
        </w:rPr>
      </w:pPr>
    </w:p>
    <w:p w14:paraId="6764A54C" w14:textId="7F24A70C" w:rsidR="00434654" w:rsidRPr="005B2AF9" w:rsidRDefault="00986EF4" w:rsidP="00434654">
      <w:pPr>
        <w:pStyle w:val="Heading1"/>
      </w:pPr>
      <w:bookmarkStart w:id="12" w:name="_Toc114748143"/>
      <w:r>
        <w:t>Promoting Successful Visiting</w:t>
      </w:r>
      <w:bookmarkEnd w:id="12"/>
    </w:p>
    <w:p w14:paraId="6386F35F" w14:textId="1CE3B2D9" w:rsidR="00EA26DE" w:rsidRDefault="00986EF4" w:rsidP="008A7E5C">
      <w:r>
        <w:t>Inspire are committed to ensuring that visit</w:t>
      </w:r>
      <w:r w:rsidR="00C8048C">
        <w:t xml:space="preserve">s from family and friends are supported and meaningful for all involved even in the event of an outbreak. Visitors should </w:t>
      </w:r>
      <w:r w:rsidR="003B2510">
        <w:t>always feel welcome</w:t>
      </w:r>
      <w:r w:rsidR="00C8048C">
        <w:t xml:space="preserve"> and </w:t>
      </w:r>
      <w:r w:rsidR="00E51AA8">
        <w:t xml:space="preserve">where appropriate offered refreshments. </w:t>
      </w:r>
      <w:r w:rsidR="003B2510">
        <w:t xml:space="preserve"> </w:t>
      </w:r>
      <w:r w:rsidR="00E51AA8">
        <w:t xml:space="preserve">If visiting during an outbreak staff will </w:t>
      </w:r>
      <w:r w:rsidR="003B2510">
        <w:t xml:space="preserve">provide information and </w:t>
      </w:r>
      <w:proofErr w:type="spellStart"/>
      <w:r w:rsidR="003B2510">
        <w:t>advise</w:t>
      </w:r>
      <w:proofErr w:type="spellEnd"/>
      <w:r w:rsidR="00E51AA8">
        <w:t xml:space="preserve"> visitors</w:t>
      </w:r>
      <w:r w:rsidR="003B2510">
        <w:t xml:space="preserve"> of the measures in place for helping to keep </w:t>
      </w:r>
      <w:r w:rsidR="00C8048C">
        <w:t>them and the person they are visiting safe</w:t>
      </w:r>
      <w:r w:rsidR="003B2510">
        <w:t>.</w:t>
      </w:r>
    </w:p>
    <w:p w14:paraId="6447C5DB" w14:textId="77777777" w:rsidR="000D57AE" w:rsidRDefault="000D57AE" w:rsidP="008A7E5C"/>
    <w:p w14:paraId="47A2D35E" w14:textId="46A4049E" w:rsidR="00AC7466" w:rsidRDefault="000D57AE" w:rsidP="00434654">
      <w:r>
        <w:t>In doing so we aim to pr</w:t>
      </w:r>
      <w:r w:rsidR="00434654">
        <w:t xml:space="preserve">otect the rights of </w:t>
      </w:r>
      <w:r>
        <w:t>all</w:t>
      </w:r>
      <w:r w:rsidR="00434654">
        <w:t xml:space="preserve"> people we support, whether they are tenants or occupants, in </w:t>
      </w:r>
      <w:r>
        <w:t>relation to their</w:t>
      </w:r>
      <w:r w:rsidR="00434654">
        <w:t xml:space="preserve"> privacy and confidentiality.</w:t>
      </w:r>
      <w:r>
        <w:t xml:space="preserve"> </w:t>
      </w:r>
      <w:r w:rsidR="00800016" w:rsidRPr="00680D4F">
        <w:t xml:space="preserve">Where services support more than one </w:t>
      </w:r>
      <w:r w:rsidR="00680D4F" w:rsidRPr="00680D4F">
        <w:t xml:space="preserve">person within a house or flat, </w:t>
      </w:r>
      <w:r>
        <w:t xml:space="preserve">other </w:t>
      </w:r>
      <w:r w:rsidR="00680D4F" w:rsidRPr="00680D4F">
        <w:t>p</w:t>
      </w:r>
      <w:r w:rsidR="00800016" w:rsidRPr="00680D4F">
        <w:t xml:space="preserve">eople </w:t>
      </w:r>
      <w:r>
        <w:t xml:space="preserve">we support should be informed of </w:t>
      </w:r>
      <w:r w:rsidR="003B2510">
        <w:t xml:space="preserve">when </w:t>
      </w:r>
      <w:r w:rsidR="003B2510" w:rsidRPr="00680D4F">
        <w:t>others</w:t>
      </w:r>
      <w:r w:rsidR="00800016" w:rsidRPr="00680D4F">
        <w:t xml:space="preserve"> are expecting visitors</w:t>
      </w:r>
      <w:r>
        <w:t xml:space="preserve">. </w:t>
      </w:r>
      <w:r w:rsidR="00800016" w:rsidRPr="00680D4F">
        <w:t xml:space="preserve"> </w:t>
      </w:r>
    </w:p>
    <w:p w14:paraId="1765306D" w14:textId="1FFF727B" w:rsidR="00BD4877" w:rsidRDefault="00BD4877">
      <w:pPr>
        <w:spacing w:after="200" w:line="276" w:lineRule="auto"/>
        <w:jc w:val="left"/>
      </w:pPr>
      <w:r>
        <w:br w:type="page"/>
      </w:r>
    </w:p>
    <w:p w14:paraId="25D7AAF5" w14:textId="77777777" w:rsidR="00BD4877" w:rsidRPr="00680D4F" w:rsidRDefault="00BD4877" w:rsidP="00434654"/>
    <w:p w14:paraId="2D3B4555" w14:textId="31409555" w:rsidR="009D3244" w:rsidRDefault="009D3244" w:rsidP="009D3244">
      <w:pPr>
        <w:pStyle w:val="Heading2"/>
      </w:pPr>
      <w:bookmarkStart w:id="13" w:name="_Toc114748144"/>
      <w:r>
        <w:t>Visitors Checklist</w:t>
      </w:r>
      <w:bookmarkEnd w:id="13"/>
    </w:p>
    <w:p w14:paraId="0A98B968" w14:textId="6396AC99" w:rsidR="00F36632" w:rsidRPr="00360965" w:rsidRDefault="009D3244" w:rsidP="009D3244">
      <w:r w:rsidRPr="009D3244">
        <w:t>Prior to visitors attending a</w:t>
      </w:r>
      <w:r w:rsidR="000A5724">
        <w:t xml:space="preserve">t a </w:t>
      </w:r>
      <w:r w:rsidRPr="009D3244">
        <w:t>service</w:t>
      </w:r>
      <w:r w:rsidR="000A5724">
        <w:t>,</w:t>
      </w:r>
      <w:r w:rsidRPr="009D3244">
        <w:t xml:space="preserve"> whether to visit a person we support or on a </w:t>
      </w:r>
      <w:r w:rsidR="000A5724">
        <w:t>service visit as part of the recruitment process</w:t>
      </w:r>
      <w:r w:rsidR="00F36632">
        <w:t xml:space="preserve">, staff should ensure that form </w:t>
      </w:r>
      <w:r w:rsidR="000A5724" w:rsidRPr="00555304">
        <w:rPr>
          <w:i/>
          <w:iCs/>
          <w:color w:val="0000FF"/>
        </w:rPr>
        <w:t xml:space="preserve">FRM-HS-339 Visitor </w:t>
      </w:r>
      <w:r w:rsidR="00BD4877">
        <w:rPr>
          <w:i/>
          <w:iCs/>
          <w:color w:val="0000FF"/>
        </w:rPr>
        <w:t xml:space="preserve">Checklist </w:t>
      </w:r>
      <w:r w:rsidR="00F36632" w:rsidRPr="00360965">
        <w:t xml:space="preserve">is completed and adhered to by </w:t>
      </w:r>
      <w:r w:rsidR="000A5724" w:rsidRPr="00360965">
        <w:t xml:space="preserve">all </w:t>
      </w:r>
      <w:r w:rsidR="00F36632" w:rsidRPr="00360965">
        <w:t>visitors.</w:t>
      </w:r>
    </w:p>
    <w:p w14:paraId="01C3BF00" w14:textId="4D831A4C" w:rsidR="00151684" w:rsidRPr="00360965" w:rsidRDefault="00151684" w:rsidP="009D3244">
      <w:pPr>
        <w:rPr>
          <w:i/>
          <w:iCs/>
        </w:rPr>
      </w:pPr>
    </w:p>
    <w:p w14:paraId="3994B166" w14:textId="66B82172" w:rsidR="00151684" w:rsidRPr="00360965" w:rsidRDefault="000F62A5" w:rsidP="009D3244">
      <w:r w:rsidRPr="00360965">
        <w:t xml:space="preserve">Under the Health &amp; Safety at Work etc Act 1974 (HSWA) Inspire owes a duty of care to all visitors to our services. A record of </w:t>
      </w:r>
      <w:r w:rsidR="001C7F24">
        <w:t xml:space="preserve">all </w:t>
      </w:r>
      <w:r w:rsidRPr="00360965">
        <w:t>visitors</w:t>
      </w:r>
      <w:r w:rsidR="001C7F24">
        <w:t xml:space="preserve"> (including those with a specific role see below) </w:t>
      </w:r>
      <w:r w:rsidRPr="00360965">
        <w:t xml:space="preserve">entering and leaving the building should be maintained </w:t>
      </w:r>
      <w:r w:rsidR="00151684" w:rsidRPr="00360965">
        <w:t>should it be necessary to evacuate a building in the event of a fire at a service</w:t>
      </w:r>
      <w:r w:rsidR="00A95C17" w:rsidRPr="00360965">
        <w:t>.</w:t>
      </w:r>
      <w:r w:rsidR="00151684" w:rsidRPr="00360965">
        <w:t xml:space="preserve"> </w:t>
      </w:r>
    </w:p>
    <w:p w14:paraId="75FA26C0" w14:textId="18AD8079" w:rsidR="000F62A5" w:rsidRPr="00360965" w:rsidRDefault="000F62A5" w:rsidP="009D3244"/>
    <w:p w14:paraId="3625B61D" w14:textId="77777777" w:rsidR="00F36632" w:rsidRPr="009D3244" w:rsidRDefault="00F36632" w:rsidP="009D3244"/>
    <w:p w14:paraId="5276BAFC" w14:textId="26FF5A63" w:rsidR="00434654" w:rsidRDefault="00AC7466" w:rsidP="00AC7466">
      <w:pPr>
        <w:pStyle w:val="Heading1"/>
      </w:pPr>
      <w:bookmarkStart w:id="14" w:name="_Toc114748145"/>
      <w:r>
        <w:t xml:space="preserve">Different Types of </w:t>
      </w:r>
      <w:r w:rsidR="0087131B">
        <w:t>Visitors</w:t>
      </w:r>
      <w:bookmarkEnd w:id="14"/>
    </w:p>
    <w:p w14:paraId="2FF02F89" w14:textId="77777777" w:rsidR="00434654" w:rsidRDefault="00434654" w:rsidP="00AC7466">
      <w:pPr>
        <w:pStyle w:val="Heading2"/>
      </w:pPr>
      <w:bookmarkStart w:id="15" w:name="_Toc114748146"/>
      <w:r w:rsidRPr="00AB459D">
        <w:t>Visitors wit</w:t>
      </w:r>
      <w:r>
        <w:t>h a S</w:t>
      </w:r>
      <w:r w:rsidRPr="00AB459D">
        <w:t>pecific</w:t>
      </w:r>
      <w:r>
        <w:t xml:space="preserve"> Role</w:t>
      </w:r>
      <w:r w:rsidRPr="00AB459D">
        <w:t>:</w:t>
      </w:r>
      <w:bookmarkEnd w:id="15"/>
    </w:p>
    <w:p w14:paraId="2C5C7A61" w14:textId="77777777" w:rsidR="00434654" w:rsidRDefault="00434654" w:rsidP="00434654">
      <w:pPr>
        <w:tabs>
          <w:tab w:val="left" w:pos="3240"/>
        </w:tabs>
      </w:pPr>
      <w:r w:rsidRPr="00690E92">
        <w:t>Some visitors will have a specific role</w:t>
      </w:r>
      <w:r>
        <w:t>,</w:t>
      </w:r>
      <w:r w:rsidRPr="00690E92">
        <w:t xml:space="preserve"> while others may be acting</w:t>
      </w:r>
      <w:r>
        <w:t xml:space="preserve"> in a statutory role. It is in the </w:t>
      </w:r>
      <w:r w:rsidRPr="00690E92">
        <w:t>best interests</w:t>
      </w:r>
      <w:r>
        <w:t xml:space="preserve"> of the people we support to be assisted </w:t>
      </w:r>
      <w:r w:rsidRPr="00690E92">
        <w:t>to understand the role of all visitors.</w:t>
      </w:r>
    </w:p>
    <w:p w14:paraId="72CFAC62" w14:textId="77777777" w:rsidR="00B32538" w:rsidRDefault="00B32538" w:rsidP="00434654">
      <w:pPr>
        <w:tabs>
          <w:tab w:val="left" w:pos="3240"/>
        </w:tabs>
      </w:pPr>
    </w:p>
    <w:p w14:paraId="241520F1" w14:textId="77777777" w:rsidR="00434654" w:rsidRPr="00690E92" w:rsidRDefault="00434654" w:rsidP="00434654">
      <w:pPr>
        <w:tabs>
          <w:tab w:val="left" w:pos="3240"/>
        </w:tabs>
      </w:pPr>
      <w:r w:rsidRPr="00690E92">
        <w:t>These visitors may be</w:t>
      </w:r>
      <w:r>
        <w:t>:</w:t>
      </w:r>
    </w:p>
    <w:p w14:paraId="599D8269" w14:textId="08126DF7" w:rsidR="00434654" w:rsidRPr="00F72D8C" w:rsidRDefault="00800016" w:rsidP="00434654">
      <w:pPr>
        <w:pStyle w:val="BulletList"/>
      </w:pPr>
      <w:r w:rsidRPr="00F72D8C">
        <w:t>Support Managers</w:t>
      </w:r>
      <w:r w:rsidR="000A5724">
        <w:t xml:space="preserve"> </w:t>
      </w:r>
      <w:r w:rsidRPr="00F72D8C">
        <w:t>/</w:t>
      </w:r>
      <w:r w:rsidR="000A5724">
        <w:t xml:space="preserve"> </w:t>
      </w:r>
      <w:r w:rsidR="000F125F">
        <w:t>Quality &amp; Compliance Partners</w:t>
      </w:r>
      <w:r w:rsidR="000A5724">
        <w:t xml:space="preserve"> </w:t>
      </w:r>
      <w:r w:rsidRPr="00F72D8C">
        <w:t>/</w:t>
      </w:r>
      <w:r w:rsidR="000A5724">
        <w:t xml:space="preserve"> </w:t>
      </w:r>
      <w:r w:rsidR="00434654" w:rsidRPr="00F72D8C">
        <w:t>Regional Managers</w:t>
      </w:r>
      <w:r w:rsidR="000A5724">
        <w:t xml:space="preserve"> </w:t>
      </w:r>
      <w:r w:rsidR="00434654" w:rsidRPr="00F72D8C">
        <w:t>/</w:t>
      </w:r>
      <w:r w:rsidR="000A5724">
        <w:t xml:space="preserve"> </w:t>
      </w:r>
      <w:r w:rsidR="00434654" w:rsidRPr="00F72D8C">
        <w:t>Senior Managers</w:t>
      </w:r>
    </w:p>
    <w:p w14:paraId="0AA0CD37" w14:textId="4611414C" w:rsidR="00434654" w:rsidRDefault="00434654" w:rsidP="00434654">
      <w:pPr>
        <w:pStyle w:val="BulletList"/>
      </w:pPr>
      <w:r w:rsidRPr="00F72D8C">
        <w:t xml:space="preserve">Care Managers, Health </w:t>
      </w:r>
      <w:r w:rsidR="000A5724" w:rsidRPr="00F72D8C">
        <w:t>Professionals,</w:t>
      </w:r>
      <w:r w:rsidR="000A5724">
        <w:t xml:space="preserve"> Health</w:t>
      </w:r>
      <w:r w:rsidR="004D17D8">
        <w:t xml:space="preserve"> and Social </w:t>
      </w:r>
      <w:r w:rsidR="000A5724">
        <w:t>C</w:t>
      </w:r>
      <w:r w:rsidR="004D17D8">
        <w:t>are Partnership Contracts Managers</w:t>
      </w:r>
      <w:r w:rsidR="00800016" w:rsidRPr="00F72D8C">
        <w:t xml:space="preserve">, Care </w:t>
      </w:r>
      <w:r w:rsidR="00B431F0" w:rsidRPr="00F72D8C">
        <w:t>Inspectorate, Environmental</w:t>
      </w:r>
      <w:r w:rsidRPr="00F72D8C">
        <w:t xml:space="preserve"> Health, </w:t>
      </w:r>
      <w:r w:rsidR="000A5724" w:rsidRPr="00F72D8C">
        <w:t>an</w:t>
      </w:r>
      <w:r w:rsidR="000A5724">
        <w:t>d</w:t>
      </w:r>
      <w:r w:rsidR="004D17D8">
        <w:t xml:space="preserve"> the Health and Safety Executive</w:t>
      </w:r>
    </w:p>
    <w:p w14:paraId="55ED6D01" w14:textId="77777777" w:rsidR="00434654" w:rsidRDefault="00434654" w:rsidP="00434654">
      <w:pPr>
        <w:pStyle w:val="BulletList"/>
      </w:pPr>
      <w:r>
        <w:t>SVQ personnel</w:t>
      </w:r>
    </w:p>
    <w:p w14:paraId="107B97C8" w14:textId="553DE19B" w:rsidR="00434654" w:rsidRPr="00AB459D" w:rsidRDefault="00434654" w:rsidP="00434654">
      <w:pPr>
        <w:pStyle w:val="BulletList"/>
        <w:rPr>
          <w:b/>
        </w:rPr>
      </w:pPr>
      <w:r>
        <w:t>Trades</w:t>
      </w:r>
      <w:r w:rsidR="00B431F0">
        <w:t>people</w:t>
      </w:r>
    </w:p>
    <w:p w14:paraId="707A9404" w14:textId="0FDF5B14" w:rsidR="00434654" w:rsidRPr="00690E92" w:rsidRDefault="00434654" w:rsidP="00434654">
      <w:pPr>
        <w:pStyle w:val="BulletList"/>
        <w:rPr>
          <w:b/>
        </w:rPr>
      </w:pPr>
      <w:r>
        <w:t>Volunteers</w:t>
      </w:r>
      <w:r w:rsidR="000A5724">
        <w:t xml:space="preserve"> </w:t>
      </w:r>
      <w:r>
        <w:t>/</w:t>
      </w:r>
      <w:r w:rsidR="000A5724">
        <w:t xml:space="preserve"> </w:t>
      </w:r>
      <w:r>
        <w:t>Befrienders</w:t>
      </w:r>
      <w:r w:rsidR="000A5724">
        <w:t xml:space="preserve"> </w:t>
      </w:r>
      <w:r>
        <w:t>/</w:t>
      </w:r>
      <w:r w:rsidR="000A5724">
        <w:t xml:space="preserve"> </w:t>
      </w:r>
      <w:r>
        <w:t xml:space="preserve">Advocates </w:t>
      </w:r>
      <w:r w:rsidR="00254251">
        <w:t>etc.</w:t>
      </w:r>
    </w:p>
    <w:p w14:paraId="298D5EC8" w14:textId="77777777" w:rsidR="00434654" w:rsidRDefault="00434654" w:rsidP="00434654"/>
    <w:p w14:paraId="2F79E5EA" w14:textId="24D88A1E" w:rsidR="00434654" w:rsidRDefault="00434654" w:rsidP="00434654">
      <w:r>
        <w:t xml:space="preserve">It should be noted that in Housing Support Services, the people we support are the tenants; only those visitors who are providing a direct service to the tenants should make arrangements to visit them in their home. Professionals who do not provide direct services to tenants should make alternative arrangements with the individual. </w:t>
      </w:r>
      <w:r w:rsidR="00800016" w:rsidRPr="00800016">
        <w:t xml:space="preserve">For example, SVQ </w:t>
      </w:r>
      <w:r w:rsidR="00800016" w:rsidRPr="00F72D8C">
        <w:t xml:space="preserve">personnel, Care Inspectorate, Contracts Compliance </w:t>
      </w:r>
      <w:r w:rsidR="00254251" w:rsidRPr="00F72D8C">
        <w:t>etc.</w:t>
      </w:r>
    </w:p>
    <w:p w14:paraId="22377472" w14:textId="77777777" w:rsidR="0087131B" w:rsidRPr="00F72D8C" w:rsidRDefault="0087131B" w:rsidP="00434654"/>
    <w:p w14:paraId="727611E1" w14:textId="142C7436" w:rsidR="00B32538" w:rsidRPr="00F72D8C" w:rsidRDefault="00800016" w:rsidP="00B32538">
      <w:r w:rsidRPr="00F72D8C">
        <w:t>Others that may wis</w:t>
      </w:r>
      <w:r w:rsidR="00680D4F" w:rsidRPr="00F72D8C">
        <w:t xml:space="preserve">h to speak to them for example Support Managers, </w:t>
      </w:r>
      <w:r w:rsidR="00B431F0">
        <w:t>Quality &amp; Compliance Partners,</w:t>
      </w:r>
      <w:r w:rsidR="00680D4F" w:rsidRPr="00F72D8C">
        <w:t xml:space="preserve"> or Regional M</w:t>
      </w:r>
      <w:r w:rsidRPr="00F72D8C">
        <w:t xml:space="preserve">anagers need to arrange and agree a time that is </w:t>
      </w:r>
      <w:r w:rsidRPr="00F72D8C">
        <w:lastRenderedPageBreak/>
        <w:t xml:space="preserve">suitable for the person supported. They may choose not to meet at their home and request an alternative venue. </w:t>
      </w:r>
    </w:p>
    <w:p w14:paraId="6C91AE48" w14:textId="53057851" w:rsidR="00C17EB1" w:rsidRDefault="00C17EB1" w:rsidP="00B32538"/>
    <w:p w14:paraId="13E59A4A" w14:textId="77777777" w:rsidR="008F7C9C" w:rsidRDefault="008F7C9C" w:rsidP="00B32538"/>
    <w:p w14:paraId="20719BDF" w14:textId="7A14410E" w:rsidR="00434654" w:rsidRDefault="00434654" w:rsidP="00B32538">
      <w:pPr>
        <w:rPr>
          <w:b/>
        </w:rPr>
      </w:pPr>
      <w:r w:rsidRPr="00B32538">
        <w:rPr>
          <w:b/>
        </w:rPr>
        <w:t>Other Visitors</w:t>
      </w:r>
    </w:p>
    <w:p w14:paraId="417583BE" w14:textId="49E2F842" w:rsidR="00434654" w:rsidRDefault="00434654" w:rsidP="00434654">
      <w:r w:rsidRPr="00AB459D">
        <w:t xml:space="preserve">There are often requests from a range of other people to visit services. Their role may be less </w:t>
      </w:r>
      <w:r w:rsidR="00B431F0" w:rsidRPr="00AB459D">
        <w:t>clear,</w:t>
      </w:r>
      <w:r w:rsidRPr="00AB459D">
        <w:t xml:space="preserve"> and they may not necessarily contribute directly to the qua</w:t>
      </w:r>
      <w:r>
        <w:t>lity of life of the people we support.</w:t>
      </w:r>
    </w:p>
    <w:p w14:paraId="235AE301" w14:textId="77777777" w:rsidR="0087131B" w:rsidRDefault="0087131B" w:rsidP="00434654"/>
    <w:p w14:paraId="544BDFAC" w14:textId="70C36DD5" w:rsidR="00434654" w:rsidRDefault="00434654" w:rsidP="00434654">
      <w:r>
        <w:t xml:space="preserve">Not all the people we support can communicate on this issue and we need to ensure that we are sensitive to individual feelings and supportive in decision making on this issue.  This means that the views of the people we support are represented in any decision.  The request to visit should be explained to the person and the potential gains or benefits to the individual should be considered. </w:t>
      </w:r>
    </w:p>
    <w:p w14:paraId="145987BB" w14:textId="77777777" w:rsidR="0087131B" w:rsidRPr="00AB459D" w:rsidRDefault="0087131B" w:rsidP="00434654"/>
    <w:p w14:paraId="7DD0A68B" w14:textId="49B8D472" w:rsidR="00434654" w:rsidRDefault="00434654" w:rsidP="00434654">
      <w:r>
        <w:t>All of the above should alw</w:t>
      </w:r>
      <w:r w:rsidRPr="00AE5F15">
        <w:t>ays have th</w:t>
      </w:r>
      <w:r>
        <w:t xml:space="preserve">eir I.D. checked. Tradesmen </w:t>
      </w:r>
      <w:r w:rsidRPr="00AE5F15">
        <w:t>should</w:t>
      </w:r>
      <w:r>
        <w:t xml:space="preserve"> not </w:t>
      </w:r>
      <w:r w:rsidRPr="00AE5F15">
        <w:t xml:space="preserve">be left with </w:t>
      </w:r>
      <w:r>
        <w:t>people we support</w:t>
      </w:r>
      <w:r w:rsidRPr="00AE5F15">
        <w:t xml:space="preserve"> unsupervised.</w:t>
      </w:r>
      <w:r w:rsidR="00254251">
        <w:t xml:space="preserve"> </w:t>
      </w:r>
    </w:p>
    <w:p w14:paraId="52BAE624" w14:textId="2BD7E696" w:rsidR="0087131B" w:rsidRDefault="0087131B" w:rsidP="00434654"/>
    <w:p w14:paraId="5A169CCF" w14:textId="7B80D430" w:rsidR="00434654" w:rsidRDefault="00434654" w:rsidP="00EA26DE">
      <w:pPr>
        <w:pStyle w:val="Heading2"/>
        <w:spacing w:after="0"/>
      </w:pPr>
      <w:bookmarkStart w:id="16" w:name="_Toc114748147"/>
      <w:r>
        <w:t>Children V</w:t>
      </w:r>
      <w:r w:rsidRPr="00670348">
        <w:t xml:space="preserve">isiting </w:t>
      </w:r>
      <w:r>
        <w:t xml:space="preserve">People </w:t>
      </w:r>
      <w:r w:rsidR="0087131B">
        <w:t>W</w:t>
      </w:r>
      <w:r>
        <w:t xml:space="preserve">e </w:t>
      </w:r>
      <w:r w:rsidR="0087131B">
        <w:t>S</w:t>
      </w:r>
      <w:r>
        <w:t>upport Homes</w:t>
      </w:r>
      <w:bookmarkEnd w:id="16"/>
    </w:p>
    <w:p w14:paraId="308AA138" w14:textId="2E66E4CF" w:rsidR="004C6800" w:rsidRDefault="006E706D" w:rsidP="00EA26DE">
      <w:r>
        <w:t>Our services are people’s homes</w:t>
      </w:r>
      <w:r w:rsidR="00434654">
        <w:t xml:space="preserve"> </w:t>
      </w:r>
      <w:r w:rsidR="00132AB6">
        <w:t>and if children are brought for a visit, it is the responsibility of the</w:t>
      </w:r>
      <w:r w:rsidR="00132AB6" w:rsidRPr="00670348">
        <w:t xml:space="preserve"> </w:t>
      </w:r>
      <w:r w:rsidR="00434654" w:rsidRPr="00670348">
        <w:t>adult</w:t>
      </w:r>
      <w:r w:rsidR="00434654">
        <w:t xml:space="preserve"> who brought them </w:t>
      </w:r>
      <w:r w:rsidR="00132AB6">
        <w:t>to supervise and ensure the safety of the child/children</w:t>
      </w:r>
      <w:r w:rsidR="00434654" w:rsidRPr="00670348">
        <w:t xml:space="preserve"> </w:t>
      </w:r>
      <w:r w:rsidR="00434654">
        <w:t xml:space="preserve"> </w:t>
      </w:r>
    </w:p>
    <w:p w14:paraId="3292AF5B" w14:textId="77777777" w:rsidR="006E706D" w:rsidRDefault="006E706D" w:rsidP="00434654"/>
    <w:p w14:paraId="5157AA06" w14:textId="77777777" w:rsidR="00434654" w:rsidRDefault="004C6800" w:rsidP="00434654">
      <w:pPr>
        <w:rPr>
          <w:color w:val="FF0000"/>
        </w:rPr>
      </w:pPr>
      <w:r w:rsidRPr="00F72D8C">
        <w:t>If staff have any concerns</w:t>
      </w:r>
      <w:r w:rsidR="008B69E1" w:rsidRPr="00F72D8C">
        <w:t xml:space="preserve"> regards</w:t>
      </w:r>
      <w:r w:rsidRPr="00F72D8C">
        <w:t xml:space="preserve"> child protectio</w:t>
      </w:r>
      <w:r w:rsidR="008B69E1" w:rsidRPr="00F72D8C">
        <w:t>n or child exploitation</w:t>
      </w:r>
      <w:r w:rsidRPr="00F72D8C">
        <w:t xml:space="preserve"> about a</w:t>
      </w:r>
      <w:r w:rsidR="00D225BD" w:rsidRPr="00F72D8C">
        <w:t>ny child that visits the service staff need to discuss this with their Support Manager.</w:t>
      </w:r>
      <w:r w:rsidR="00E56FA2" w:rsidRPr="00F72D8C">
        <w:t xml:space="preserve"> </w:t>
      </w:r>
      <w:r w:rsidR="00D225BD" w:rsidRPr="00F72D8C">
        <w:t xml:space="preserve">Please see the relevant Council’s website (Aberdeen, Aberdeenshire or Moray) under child protection to check who to contact to pass on the concern. Managers </w:t>
      </w:r>
      <w:r w:rsidR="00680D4F" w:rsidRPr="00F72D8C">
        <w:t>are</w:t>
      </w:r>
      <w:r w:rsidR="00F72D8C" w:rsidRPr="00F72D8C">
        <w:t xml:space="preserve"> </w:t>
      </w:r>
      <w:r w:rsidR="00D225BD" w:rsidRPr="00F72D8C">
        <w:t>to ensure that any concerns that are reported, are passed on to their Regional Manager.</w:t>
      </w:r>
    </w:p>
    <w:p w14:paraId="0D3BC18A" w14:textId="77777777" w:rsidR="00C17EB1" w:rsidRDefault="00C17EB1" w:rsidP="00434654"/>
    <w:p w14:paraId="66FC7ED0" w14:textId="77777777" w:rsidR="00434654" w:rsidRDefault="00434654" w:rsidP="00EA26DE">
      <w:pPr>
        <w:pStyle w:val="Heading2"/>
        <w:spacing w:after="0"/>
      </w:pPr>
      <w:bookmarkStart w:id="17" w:name="_Toc114748148"/>
      <w:r w:rsidRPr="00494EF1">
        <w:t xml:space="preserve">Pets visiting </w:t>
      </w:r>
      <w:r>
        <w:t>individual’s h</w:t>
      </w:r>
      <w:r w:rsidRPr="00494EF1">
        <w:t>omes</w:t>
      </w:r>
      <w:bookmarkEnd w:id="17"/>
    </w:p>
    <w:p w14:paraId="7F99DD15" w14:textId="7BB497DF" w:rsidR="00D225BD" w:rsidRPr="00F72D8C" w:rsidRDefault="00D225BD" w:rsidP="00EA26DE">
      <w:r w:rsidRPr="00F72D8C">
        <w:t xml:space="preserve">Pets must </w:t>
      </w:r>
      <w:r w:rsidR="00B431F0" w:rsidRPr="00F72D8C">
        <w:t>remain</w:t>
      </w:r>
      <w:r w:rsidRPr="00F72D8C">
        <w:t xml:space="preserve"> supervised when visiting a person in their own home. Pets cannot be left with people supported</w:t>
      </w:r>
      <w:r w:rsidR="00680D4F" w:rsidRPr="00F72D8C">
        <w:t xml:space="preserve"> without</w:t>
      </w:r>
      <w:r w:rsidR="00254251" w:rsidRPr="00F72D8C">
        <w:t xml:space="preserve"> their owners</w:t>
      </w:r>
      <w:r w:rsidRPr="00F72D8C">
        <w:t xml:space="preserve">. Where people share their home with another </w:t>
      </w:r>
      <w:r w:rsidR="00680D4F" w:rsidRPr="00F72D8C">
        <w:t xml:space="preserve">person, a </w:t>
      </w:r>
      <w:r w:rsidRPr="00F72D8C">
        <w:t xml:space="preserve">visit from pets needs </w:t>
      </w:r>
      <w:r w:rsidR="00254251" w:rsidRPr="00F72D8C">
        <w:t>to be agreed by the other people or person</w:t>
      </w:r>
      <w:r w:rsidRPr="00F72D8C">
        <w:t xml:space="preserve"> living within the house to ensure there is no problems regards allergies, anxiety or fear of the animals visiting. </w:t>
      </w:r>
    </w:p>
    <w:p w14:paraId="22C8FBB6" w14:textId="5886FD01" w:rsidR="001C7F24" w:rsidRDefault="001C7F24">
      <w:pPr>
        <w:spacing w:after="200" w:line="276" w:lineRule="auto"/>
        <w:jc w:val="left"/>
      </w:pPr>
      <w:r>
        <w:br w:type="page"/>
      </w:r>
    </w:p>
    <w:p w14:paraId="4DA500CE" w14:textId="77777777" w:rsidR="00C17EB1" w:rsidRDefault="00C17EB1" w:rsidP="00434654"/>
    <w:p w14:paraId="7E82EA16" w14:textId="77777777" w:rsidR="00434654" w:rsidRPr="00F130B4" w:rsidRDefault="00434654" w:rsidP="00EA26DE">
      <w:pPr>
        <w:pStyle w:val="Heading2"/>
        <w:spacing w:after="0"/>
      </w:pPr>
      <w:bookmarkStart w:id="18" w:name="_Toc114748149"/>
      <w:r w:rsidRPr="00F130B4">
        <w:t>Staff receiving person</w:t>
      </w:r>
      <w:r>
        <w:t>al visitors while on duty</w:t>
      </w:r>
      <w:bookmarkEnd w:id="18"/>
    </w:p>
    <w:p w14:paraId="7F5B5C34" w14:textId="77777777" w:rsidR="00434654" w:rsidRDefault="00434654" w:rsidP="00EA26DE">
      <w:r>
        <w:t>Unless in exceptional circumstances, and with the agreement of a line manager, staff should not receive visitors while on duty. This includes children.</w:t>
      </w:r>
      <w:r w:rsidR="00B32538">
        <w:t xml:space="preserve"> </w:t>
      </w:r>
    </w:p>
    <w:p w14:paraId="6EED2DCD" w14:textId="77777777" w:rsidR="00F72D8C" w:rsidRDefault="00F72D8C" w:rsidP="00434654"/>
    <w:p w14:paraId="1C02F581" w14:textId="2CD954B4" w:rsidR="00434654" w:rsidRPr="00B32538" w:rsidRDefault="00434654" w:rsidP="00434654">
      <w:pPr>
        <w:rPr>
          <w:color w:val="FF0000"/>
        </w:rPr>
      </w:pPr>
      <w:r>
        <w:t xml:space="preserve">An </w:t>
      </w:r>
      <w:r w:rsidRPr="00F72D8C">
        <w:t xml:space="preserve">exception to this rule would </w:t>
      </w:r>
      <w:r w:rsidR="000F125F" w:rsidRPr="00F72D8C">
        <w:t>be</w:t>
      </w:r>
      <w:r w:rsidRPr="00F72D8C">
        <w:t xml:space="preserve"> an arranged social activity where people we support may invite sta</w:t>
      </w:r>
      <w:r w:rsidR="00B32538" w:rsidRPr="00F72D8C">
        <w:t xml:space="preserve">ff and their families to attend, and in this </w:t>
      </w:r>
      <w:r w:rsidR="00C17EB1" w:rsidRPr="00F72D8C">
        <w:t>case,</w:t>
      </w:r>
      <w:r w:rsidR="00B32538" w:rsidRPr="00F72D8C">
        <w:t xml:space="preserve"> parents must remain with their children during this event. </w:t>
      </w:r>
    </w:p>
    <w:p w14:paraId="3065B741" w14:textId="584AF05C" w:rsidR="00C17EB1" w:rsidRDefault="00C17EB1" w:rsidP="00434654"/>
    <w:p w14:paraId="7B7BAB34" w14:textId="77777777" w:rsidR="0087131B" w:rsidRPr="002F79AF" w:rsidRDefault="0087131B" w:rsidP="00EA26DE">
      <w:pPr>
        <w:pStyle w:val="Heading2"/>
        <w:spacing w:after="0"/>
        <w:rPr>
          <w:color w:val="FF0000"/>
        </w:rPr>
      </w:pPr>
      <w:bookmarkStart w:id="19" w:name="_Toc114748150"/>
      <w:r>
        <w:t xml:space="preserve">People we Support </w:t>
      </w:r>
      <w:r w:rsidRPr="005B2AF9">
        <w:t>Visiting</w:t>
      </w:r>
      <w:r>
        <w:t xml:space="preserve"> Staff H</w:t>
      </w:r>
      <w:r w:rsidRPr="005B2AF9">
        <w:t>omes</w:t>
      </w:r>
      <w:bookmarkEnd w:id="19"/>
      <w:r>
        <w:t xml:space="preserve"> </w:t>
      </w:r>
    </w:p>
    <w:p w14:paraId="5263D257" w14:textId="792F0564" w:rsidR="0087131B" w:rsidRDefault="0087131B" w:rsidP="00EA26DE">
      <w:r w:rsidRPr="00C17EB1">
        <w:t xml:space="preserve">Inspire staff </w:t>
      </w:r>
      <w:r w:rsidRPr="00C17EB1">
        <w:rPr>
          <w:b/>
          <w:bCs/>
        </w:rPr>
        <w:t>should not</w:t>
      </w:r>
      <w:r w:rsidRPr="00C17EB1">
        <w:t xml:space="preserve"> arrange to have people we support visit their homes. This is to safeguard </w:t>
      </w:r>
      <w:r w:rsidR="008556E6" w:rsidRPr="00C17EB1">
        <w:t>and protect</w:t>
      </w:r>
      <w:r w:rsidRPr="00C17EB1">
        <w:t xml:space="preserve"> people we support and staff from the danger of unfounded allegations or misinterpretation of their intentions.  </w:t>
      </w:r>
    </w:p>
    <w:p w14:paraId="1BEECD3C" w14:textId="33442CAC" w:rsidR="003530CE" w:rsidRDefault="003530CE" w:rsidP="00EA26DE"/>
    <w:p w14:paraId="59728CF6" w14:textId="77777777" w:rsidR="003530CE" w:rsidRPr="00C17EB1" w:rsidRDefault="003530CE" w:rsidP="00EA26DE"/>
    <w:sectPr w:rsidR="003530CE" w:rsidRPr="00C17EB1" w:rsidSect="004F6684">
      <w:pgSz w:w="11906" w:h="16838"/>
      <w:pgMar w:top="1985"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5AF8" w14:textId="77777777" w:rsidR="00D03348" w:rsidRDefault="00D03348" w:rsidP="00A01746">
      <w:r>
        <w:separator/>
      </w:r>
    </w:p>
  </w:endnote>
  <w:endnote w:type="continuationSeparator" w:id="0">
    <w:p w14:paraId="3DA6033D" w14:textId="77777777" w:rsidR="00D03348" w:rsidRDefault="00D03348" w:rsidP="00A0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564" w14:textId="3DAF724D" w:rsidR="00D03348" w:rsidRPr="00446103" w:rsidRDefault="00F17C6A" w:rsidP="00E931D1">
    <w:pPr>
      <w:pStyle w:val="Footerstyle"/>
    </w:pPr>
    <w:r>
      <w:t>PRO-OP-70</w:t>
    </w:r>
    <w:r w:rsidR="000F6E73">
      <w:t xml:space="preserve">: </w:t>
    </w:r>
    <w:r>
      <w:t>Visitors</w:t>
    </w:r>
    <w:r w:rsidR="00AF2FB1">
      <w:t xml:space="preserve"> </w:t>
    </w:r>
    <w:r w:rsidR="00970238">
      <w:t>Procedure</w:t>
    </w:r>
    <w:r w:rsidR="00D03348">
      <w:tab/>
    </w:r>
    <w:r w:rsidR="00D03348">
      <w:fldChar w:fldCharType="begin"/>
    </w:r>
    <w:r w:rsidR="00D03348">
      <w:instrText xml:space="preserve"> PAGE   \* MERGEFORMAT </w:instrText>
    </w:r>
    <w:r w:rsidR="00D03348">
      <w:fldChar w:fldCharType="separate"/>
    </w:r>
    <w:r w:rsidR="00F72D8C">
      <w:rPr>
        <w:noProof/>
      </w:rPr>
      <w:t>2</w:t>
    </w:r>
    <w:r w:rsidR="00D033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4441"/>
      <w:docPartObj>
        <w:docPartGallery w:val="Page Numbers (Bottom of Page)"/>
        <w:docPartUnique/>
      </w:docPartObj>
    </w:sdtPr>
    <w:sdtEndPr/>
    <w:sdtContent>
      <w:p w14:paraId="5DBA298B" w14:textId="77777777" w:rsidR="00D03348" w:rsidRDefault="00F17C6A" w:rsidP="00F17C6A">
        <w:pPr>
          <w:pStyle w:val="Footerstyle"/>
        </w:pPr>
        <w:r>
          <w:rPr>
            <w:rStyle w:val="FooterstyleChar"/>
            <w:b/>
          </w:rPr>
          <w:t>PRO-OP-70: Visitors</w:t>
        </w:r>
        <w:r w:rsidR="00D03348" w:rsidRPr="00E931D1">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7FB0" w14:textId="77777777" w:rsidR="00D03348" w:rsidRDefault="00D03348" w:rsidP="00A01746">
      <w:r>
        <w:separator/>
      </w:r>
    </w:p>
  </w:footnote>
  <w:footnote w:type="continuationSeparator" w:id="0">
    <w:p w14:paraId="46225565" w14:textId="77777777" w:rsidR="00D03348" w:rsidRDefault="00D03348" w:rsidP="00A0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3DD9" w14:textId="77777777" w:rsidR="00D03348" w:rsidRPr="0092383D" w:rsidRDefault="00D03348" w:rsidP="00A01746">
    <w:pPr>
      <w:pStyle w:val="Header"/>
      <w:rPr>
        <w:sz w:val="16"/>
        <w:szCs w:val="16"/>
        <w:lang w:eastAsia="en-GB"/>
      </w:rPr>
    </w:pPr>
    <w:r w:rsidRPr="00884D42">
      <w:rPr>
        <w:rStyle w:val="apple-converted-space"/>
        <w:noProof/>
        <w:color w:val="222222"/>
        <w:sz w:val="19"/>
        <w:szCs w:val="19"/>
        <w:shd w:val="clear" w:color="auto" w:fill="FFFFFF"/>
        <w:lang w:eastAsia="en-GB"/>
      </w:rPr>
      <w:drawing>
        <wp:inline distT="0" distB="0" distL="0" distR="0" wp14:anchorId="6800C17B" wp14:editId="000B8C57">
          <wp:extent cx="1547464" cy="1308100"/>
          <wp:effectExtent l="0" t="0" r="0" b="0"/>
          <wp:docPr id="5" name="Picture 2" descr="Operations Graphic Procedu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s Graphic Procedure.emf"/>
                  <pic:cNvPicPr/>
                </pic:nvPicPr>
                <pic:blipFill>
                  <a:blip r:embed="rId1"/>
                  <a:stretch>
                    <a:fillRect/>
                  </a:stretch>
                </pic:blipFill>
                <pic:spPr>
                  <a:xfrm>
                    <a:off x="0" y="0"/>
                    <a:ext cx="1550519" cy="1310683"/>
                  </a:xfrm>
                  <a:prstGeom prst="rect">
                    <a:avLst/>
                  </a:prstGeom>
                </pic:spPr>
              </pic:pic>
            </a:graphicData>
          </a:graphic>
        </wp:inline>
      </w:drawing>
    </w:r>
    <w:r w:rsidRPr="0092383D">
      <w:rPr>
        <w:noProof/>
        <w:sz w:val="16"/>
        <w:szCs w:val="16"/>
        <w:lang w:eastAsia="en-GB"/>
      </w:rPr>
      <w:drawing>
        <wp:anchor distT="0" distB="0" distL="114300" distR="114300" simplePos="0" relativeHeight="251659264" behindDoc="1" locked="0" layoutInCell="1" allowOverlap="1" wp14:anchorId="5613945C" wp14:editId="482F7473">
          <wp:simplePos x="0" y="0"/>
          <wp:positionH relativeFrom="margin">
            <wp:align>right</wp:align>
          </wp:positionH>
          <wp:positionV relativeFrom="page">
            <wp:posOffset>390525</wp:posOffset>
          </wp:positionV>
          <wp:extent cx="1123950" cy="723900"/>
          <wp:effectExtent l="19050" t="0" r="0" b="0"/>
          <wp:wrapTight wrapText="bothSides">
            <wp:wrapPolygon edited="0">
              <wp:start x="-366" y="0"/>
              <wp:lineTo x="-366" y="21032"/>
              <wp:lineTo x="21600" y="21032"/>
              <wp:lineTo x="21600" y="0"/>
              <wp:lineTo x="-366" y="0"/>
            </wp:wrapPolygon>
          </wp:wrapTight>
          <wp:docPr id="9" name="Picture 0" descr="inspireRGBwebsafe3.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RGBwebsafe3.jpg new.jpg"/>
                  <pic:cNvPicPr/>
                </pic:nvPicPr>
                <pic:blipFill>
                  <a:blip r:embed="rId2"/>
                  <a:stretch>
                    <a:fillRect/>
                  </a:stretch>
                </pic:blipFill>
                <pic:spPr>
                  <a:xfrm>
                    <a:off x="0" y="0"/>
                    <a:ext cx="1123950"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4DE0" w14:textId="77777777" w:rsidR="00D03348" w:rsidRPr="00A8758A" w:rsidRDefault="00D03348" w:rsidP="00D72F65">
    <w:pPr>
      <w:pStyle w:val="Header"/>
      <w:rPr>
        <w:sz w:val="16"/>
        <w:szCs w:val="16"/>
        <w:lang w:eastAsia="en-GB"/>
      </w:rPr>
    </w:pPr>
    <w:r>
      <w:rPr>
        <w:rStyle w:val="apple-converted-space"/>
        <w:color w:val="222222"/>
        <w:sz w:val="19"/>
        <w:szCs w:val="19"/>
        <w:shd w:val="clear" w:color="auto" w:fill="FFFFFF"/>
      </w:rPr>
      <w:t> </w:t>
    </w:r>
    <w:r w:rsidRPr="00884D42">
      <w:rPr>
        <w:rStyle w:val="apple-converted-space"/>
        <w:noProof/>
        <w:color w:val="222222"/>
        <w:sz w:val="19"/>
        <w:szCs w:val="19"/>
        <w:shd w:val="clear" w:color="auto" w:fill="FFFFFF"/>
        <w:lang w:eastAsia="en-GB"/>
      </w:rPr>
      <w:drawing>
        <wp:inline distT="0" distB="0" distL="0" distR="0" wp14:anchorId="5F933DE3" wp14:editId="2EBA0CB3">
          <wp:extent cx="1873850" cy="1584000"/>
          <wp:effectExtent l="0" t="0" r="0" b="0"/>
          <wp:docPr id="7" name="Picture 2" descr="Operations Graphic Procedu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s Graphic Procedure.emf"/>
                  <pic:cNvPicPr/>
                </pic:nvPicPr>
                <pic:blipFill>
                  <a:blip r:embed="rId1"/>
                  <a:stretch>
                    <a:fillRect/>
                  </a:stretch>
                </pic:blipFill>
                <pic:spPr>
                  <a:xfrm>
                    <a:off x="0" y="0"/>
                    <a:ext cx="1873850" cy="1584000"/>
                  </a:xfrm>
                  <a:prstGeom prst="rect">
                    <a:avLst/>
                  </a:prstGeom>
                </pic:spPr>
              </pic:pic>
            </a:graphicData>
          </a:graphic>
        </wp:inline>
      </w:drawing>
    </w:r>
    <w:r w:rsidRPr="00A8758A">
      <w:rPr>
        <w:noProof/>
        <w:sz w:val="16"/>
        <w:szCs w:val="16"/>
        <w:lang w:eastAsia="en-GB"/>
      </w:rPr>
      <w:drawing>
        <wp:anchor distT="0" distB="0" distL="114300" distR="114300" simplePos="0" relativeHeight="251661312" behindDoc="1" locked="0" layoutInCell="1" allowOverlap="1" wp14:anchorId="328603B3" wp14:editId="5A48A73E">
          <wp:simplePos x="0" y="0"/>
          <wp:positionH relativeFrom="margin">
            <wp:align>right</wp:align>
          </wp:positionH>
          <wp:positionV relativeFrom="page">
            <wp:posOffset>352425</wp:posOffset>
          </wp:positionV>
          <wp:extent cx="1695450" cy="1076325"/>
          <wp:effectExtent l="19050" t="0" r="0" b="0"/>
          <wp:wrapTight wrapText="bothSides">
            <wp:wrapPolygon edited="0">
              <wp:start x="-243" y="0"/>
              <wp:lineTo x="-243" y="21346"/>
              <wp:lineTo x="21584" y="21346"/>
              <wp:lineTo x="21584" y="0"/>
              <wp:lineTo x="-243" y="0"/>
            </wp:wrapPolygon>
          </wp:wrapTight>
          <wp:docPr id="2" name="Picture 0" descr="inspireRGBwebsafe3.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RGBwebsafe3.jpg new.jpg"/>
                  <pic:cNvPicPr/>
                </pic:nvPicPr>
                <pic:blipFill>
                  <a:blip r:embed="rId2"/>
                  <a:stretch>
                    <a:fillRect/>
                  </a:stretch>
                </pic:blipFill>
                <pic:spPr>
                  <a:xfrm>
                    <a:off x="0" y="0"/>
                    <a:ext cx="169672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5AA770"/>
    <w:lvl w:ilvl="0">
      <w:numFmt w:val="bullet"/>
      <w:lvlText w:val="*"/>
      <w:lvlJc w:val="left"/>
    </w:lvl>
  </w:abstractNum>
  <w:abstractNum w:abstractNumId="1" w15:restartNumberingAfterBreak="0">
    <w:nsid w:val="00CC4F08"/>
    <w:multiLevelType w:val="hybridMultilevel"/>
    <w:tmpl w:val="5B10EE30"/>
    <w:lvl w:ilvl="0" w:tplc="6E0406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52D6"/>
    <w:multiLevelType w:val="hybridMultilevel"/>
    <w:tmpl w:val="3CE4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1DCF"/>
    <w:multiLevelType w:val="hybridMultilevel"/>
    <w:tmpl w:val="991EB3A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F77042B"/>
    <w:multiLevelType w:val="hybridMultilevel"/>
    <w:tmpl w:val="5BD2D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4728E"/>
    <w:multiLevelType w:val="hybridMultilevel"/>
    <w:tmpl w:val="EA58BE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1502FED"/>
    <w:multiLevelType w:val="hybridMultilevel"/>
    <w:tmpl w:val="BA84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07038"/>
    <w:multiLevelType w:val="hybridMultilevel"/>
    <w:tmpl w:val="A49A300E"/>
    <w:lvl w:ilvl="0" w:tplc="08090001">
      <w:start w:val="1"/>
      <w:numFmt w:val="bullet"/>
      <w:lvlText w:val=""/>
      <w:lvlJc w:val="left"/>
      <w:pPr>
        <w:tabs>
          <w:tab w:val="num" w:pos="510"/>
        </w:tabs>
        <w:ind w:left="510" w:hanging="51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EC1F16"/>
    <w:multiLevelType w:val="hybridMultilevel"/>
    <w:tmpl w:val="B33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B4CAB"/>
    <w:multiLevelType w:val="hybridMultilevel"/>
    <w:tmpl w:val="37E499F0"/>
    <w:lvl w:ilvl="0" w:tplc="0316B23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015459"/>
    <w:multiLevelType w:val="hybridMultilevel"/>
    <w:tmpl w:val="352AF4CA"/>
    <w:lvl w:ilvl="0" w:tplc="964EBBE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74672"/>
    <w:multiLevelType w:val="hybridMultilevel"/>
    <w:tmpl w:val="31F866F0"/>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2" w15:restartNumberingAfterBreak="0">
    <w:nsid w:val="47153B97"/>
    <w:multiLevelType w:val="hybridMultilevel"/>
    <w:tmpl w:val="ADC0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63D00"/>
    <w:multiLevelType w:val="hybridMultilevel"/>
    <w:tmpl w:val="42065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800A24"/>
    <w:multiLevelType w:val="hybridMultilevel"/>
    <w:tmpl w:val="FEB2A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6074E"/>
    <w:multiLevelType w:val="multilevel"/>
    <w:tmpl w:val="C886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844ED"/>
    <w:multiLevelType w:val="hybridMultilevel"/>
    <w:tmpl w:val="608A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16003"/>
    <w:multiLevelType w:val="hybridMultilevel"/>
    <w:tmpl w:val="AB460DB6"/>
    <w:lvl w:ilvl="0" w:tplc="E548865A">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15:restartNumberingAfterBreak="0">
    <w:nsid w:val="73B24F5E"/>
    <w:multiLevelType w:val="hybridMultilevel"/>
    <w:tmpl w:val="1D56B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56E5370"/>
    <w:multiLevelType w:val="hybridMultilevel"/>
    <w:tmpl w:val="57EE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10583"/>
    <w:multiLevelType w:val="hybridMultilevel"/>
    <w:tmpl w:val="3CFAA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0"/>
  </w:num>
  <w:num w:numId="4">
    <w:abstractNumId w:val="17"/>
  </w:num>
  <w:num w:numId="5">
    <w:abstractNumId w:val="9"/>
  </w:num>
  <w:num w:numId="6">
    <w:abstractNumId w:val="16"/>
  </w:num>
  <w:num w:numId="7">
    <w:abstractNumId w:val="14"/>
  </w:num>
  <w:num w:numId="8">
    <w:abstractNumId w:val="4"/>
  </w:num>
  <w:num w:numId="9">
    <w:abstractNumId w:val="0"/>
    <w:lvlOverride w:ilvl="0">
      <w:lvl w:ilvl="0">
        <w:numFmt w:val="bullet"/>
        <w:lvlText w:val=""/>
        <w:legacy w:legacy="1" w:legacySpace="0" w:legacyIndent="360"/>
        <w:lvlJc w:val="left"/>
        <w:pPr>
          <w:ind w:left="360" w:hanging="360"/>
        </w:pPr>
      </w:lvl>
    </w:lvlOverride>
  </w:num>
  <w:num w:numId="10">
    <w:abstractNumId w:val="20"/>
  </w:num>
  <w:num w:numId="11">
    <w:abstractNumId w:val="7"/>
  </w:num>
  <w:num w:numId="12">
    <w:abstractNumId w:val="18"/>
  </w:num>
  <w:num w:numId="13">
    <w:abstractNumId w:val="5"/>
  </w:num>
  <w:num w:numId="14">
    <w:abstractNumId w:val="6"/>
  </w:num>
  <w:num w:numId="15">
    <w:abstractNumId w:val="15"/>
  </w:num>
  <w:num w:numId="16">
    <w:abstractNumId w:val="2"/>
  </w:num>
  <w:num w:numId="17">
    <w:abstractNumId w:val="11"/>
  </w:num>
  <w:num w:numId="18">
    <w:abstractNumId w:val="13"/>
  </w:num>
  <w:num w:numId="19">
    <w:abstractNumId w:val="1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65"/>
    <w:rsid w:val="00001F20"/>
    <w:rsid w:val="0001479F"/>
    <w:rsid w:val="000379E7"/>
    <w:rsid w:val="0005052C"/>
    <w:rsid w:val="00051F9F"/>
    <w:rsid w:val="000830A2"/>
    <w:rsid w:val="00091830"/>
    <w:rsid w:val="00095BAF"/>
    <w:rsid w:val="000960EB"/>
    <w:rsid w:val="000965CF"/>
    <w:rsid w:val="00096E0C"/>
    <w:rsid w:val="000A5724"/>
    <w:rsid w:val="000C33BC"/>
    <w:rsid w:val="000C77D9"/>
    <w:rsid w:val="000D4A30"/>
    <w:rsid w:val="000D57AE"/>
    <w:rsid w:val="000E40ED"/>
    <w:rsid w:val="000F125F"/>
    <w:rsid w:val="000F4191"/>
    <w:rsid w:val="000F62A5"/>
    <w:rsid w:val="000F6E73"/>
    <w:rsid w:val="00132AB6"/>
    <w:rsid w:val="00151684"/>
    <w:rsid w:val="001619FE"/>
    <w:rsid w:val="00183C00"/>
    <w:rsid w:val="001A2131"/>
    <w:rsid w:val="001A6F5D"/>
    <w:rsid w:val="001B172F"/>
    <w:rsid w:val="001C7F24"/>
    <w:rsid w:val="00217498"/>
    <w:rsid w:val="00231E96"/>
    <w:rsid w:val="00246F7A"/>
    <w:rsid w:val="002537FF"/>
    <w:rsid w:val="00254251"/>
    <w:rsid w:val="0025658A"/>
    <w:rsid w:val="002F79AF"/>
    <w:rsid w:val="00330F11"/>
    <w:rsid w:val="00350EE4"/>
    <w:rsid w:val="00351B7B"/>
    <w:rsid w:val="003530CE"/>
    <w:rsid w:val="00356F05"/>
    <w:rsid w:val="00360965"/>
    <w:rsid w:val="00364E11"/>
    <w:rsid w:val="0039093E"/>
    <w:rsid w:val="003A36EB"/>
    <w:rsid w:val="003B2510"/>
    <w:rsid w:val="003D56A9"/>
    <w:rsid w:val="003E716C"/>
    <w:rsid w:val="003F18DE"/>
    <w:rsid w:val="004172B9"/>
    <w:rsid w:val="0043274E"/>
    <w:rsid w:val="00434542"/>
    <w:rsid w:val="00434654"/>
    <w:rsid w:val="00446103"/>
    <w:rsid w:val="0045503F"/>
    <w:rsid w:val="0046485A"/>
    <w:rsid w:val="00485985"/>
    <w:rsid w:val="004A5B3B"/>
    <w:rsid w:val="004A7107"/>
    <w:rsid w:val="004C6800"/>
    <w:rsid w:val="004C7AC1"/>
    <w:rsid w:val="004D17D8"/>
    <w:rsid w:val="004D4D03"/>
    <w:rsid w:val="004F5CA7"/>
    <w:rsid w:val="004F6684"/>
    <w:rsid w:val="005031AA"/>
    <w:rsid w:val="00530939"/>
    <w:rsid w:val="00536977"/>
    <w:rsid w:val="0054649E"/>
    <w:rsid w:val="00555304"/>
    <w:rsid w:val="005715DA"/>
    <w:rsid w:val="00581E8A"/>
    <w:rsid w:val="00582EE3"/>
    <w:rsid w:val="00596E52"/>
    <w:rsid w:val="005A63A6"/>
    <w:rsid w:val="005A6596"/>
    <w:rsid w:val="005B40F8"/>
    <w:rsid w:val="005B5420"/>
    <w:rsid w:val="005C47A7"/>
    <w:rsid w:val="00602EC0"/>
    <w:rsid w:val="006138A2"/>
    <w:rsid w:val="00680D4F"/>
    <w:rsid w:val="00694C60"/>
    <w:rsid w:val="006A4AFB"/>
    <w:rsid w:val="006A4F0C"/>
    <w:rsid w:val="006B1FC0"/>
    <w:rsid w:val="006E706D"/>
    <w:rsid w:val="00714E12"/>
    <w:rsid w:val="00730C6F"/>
    <w:rsid w:val="00732D95"/>
    <w:rsid w:val="00743C67"/>
    <w:rsid w:val="00745D8B"/>
    <w:rsid w:val="00746F04"/>
    <w:rsid w:val="00750122"/>
    <w:rsid w:val="007674AD"/>
    <w:rsid w:val="00785857"/>
    <w:rsid w:val="007C41C3"/>
    <w:rsid w:val="00800016"/>
    <w:rsid w:val="008013FC"/>
    <w:rsid w:val="00806E4D"/>
    <w:rsid w:val="008117A4"/>
    <w:rsid w:val="00821DBD"/>
    <w:rsid w:val="00842965"/>
    <w:rsid w:val="0084473E"/>
    <w:rsid w:val="008475B4"/>
    <w:rsid w:val="008556E6"/>
    <w:rsid w:val="00857E6A"/>
    <w:rsid w:val="0087131B"/>
    <w:rsid w:val="008773C1"/>
    <w:rsid w:val="00881ECA"/>
    <w:rsid w:val="00884D42"/>
    <w:rsid w:val="00886941"/>
    <w:rsid w:val="008A7E5C"/>
    <w:rsid w:val="008B69E1"/>
    <w:rsid w:val="008B6FEB"/>
    <w:rsid w:val="008C46ED"/>
    <w:rsid w:val="008C49CA"/>
    <w:rsid w:val="008D18B2"/>
    <w:rsid w:val="008F7C9C"/>
    <w:rsid w:val="0092383D"/>
    <w:rsid w:val="00965D0D"/>
    <w:rsid w:val="00970238"/>
    <w:rsid w:val="00976055"/>
    <w:rsid w:val="00986EF4"/>
    <w:rsid w:val="0099431C"/>
    <w:rsid w:val="009C6862"/>
    <w:rsid w:val="009D3244"/>
    <w:rsid w:val="009E574F"/>
    <w:rsid w:val="00A01746"/>
    <w:rsid w:val="00A1114A"/>
    <w:rsid w:val="00A253AA"/>
    <w:rsid w:val="00A43667"/>
    <w:rsid w:val="00A700F1"/>
    <w:rsid w:val="00A810A6"/>
    <w:rsid w:val="00A8758A"/>
    <w:rsid w:val="00A95C17"/>
    <w:rsid w:val="00AA5218"/>
    <w:rsid w:val="00AB16AA"/>
    <w:rsid w:val="00AC7466"/>
    <w:rsid w:val="00AE269E"/>
    <w:rsid w:val="00AF2FB1"/>
    <w:rsid w:val="00AF5A5A"/>
    <w:rsid w:val="00AF7192"/>
    <w:rsid w:val="00B17336"/>
    <w:rsid w:val="00B20CC9"/>
    <w:rsid w:val="00B32538"/>
    <w:rsid w:val="00B431F0"/>
    <w:rsid w:val="00B53C3E"/>
    <w:rsid w:val="00B56010"/>
    <w:rsid w:val="00B73F12"/>
    <w:rsid w:val="00BA3171"/>
    <w:rsid w:val="00BC08C3"/>
    <w:rsid w:val="00BD4877"/>
    <w:rsid w:val="00BE67A4"/>
    <w:rsid w:val="00BF09EA"/>
    <w:rsid w:val="00BF10B5"/>
    <w:rsid w:val="00BF240D"/>
    <w:rsid w:val="00BF2928"/>
    <w:rsid w:val="00BF5651"/>
    <w:rsid w:val="00BF5E0A"/>
    <w:rsid w:val="00C17EB1"/>
    <w:rsid w:val="00C21782"/>
    <w:rsid w:val="00C27709"/>
    <w:rsid w:val="00C31EDD"/>
    <w:rsid w:val="00C77BB0"/>
    <w:rsid w:val="00C8048C"/>
    <w:rsid w:val="00C87279"/>
    <w:rsid w:val="00CA28A6"/>
    <w:rsid w:val="00CC5E60"/>
    <w:rsid w:val="00CD0062"/>
    <w:rsid w:val="00D03348"/>
    <w:rsid w:val="00D20418"/>
    <w:rsid w:val="00D225BD"/>
    <w:rsid w:val="00D22756"/>
    <w:rsid w:val="00D27AF2"/>
    <w:rsid w:val="00D4076B"/>
    <w:rsid w:val="00D42160"/>
    <w:rsid w:val="00D4371E"/>
    <w:rsid w:val="00D458ED"/>
    <w:rsid w:val="00D64771"/>
    <w:rsid w:val="00D72BD8"/>
    <w:rsid w:val="00D72F65"/>
    <w:rsid w:val="00D73540"/>
    <w:rsid w:val="00D85E93"/>
    <w:rsid w:val="00D90AC7"/>
    <w:rsid w:val="00D97ED9"/>
    <w:rsid w:val="00DA4D25"/>
    <w:rsid w:val="00DB1D71"/>
    <w:rsid w:val="00DC281C"/>
    <w:rsid w:val="00DC6FAF"/>
    <w:rsid w:val="00DD61BC"/>
    <w:rsid w:val="00DE05AF"/>
    <w:rsid w:val="00DE5C1A"/>
    <w:rsid w:val="00E03EF6"/>
    <w:rsid w:val="00E068D6"/>
    <w:rsid w:val="00E10265"/>
    <w:rsid w:val="00E17F47"/>
    <w:rsid w:val="00E32C65"/>
    <w:rsid w:val="00E37EA8"/>
    <w:rsid w:val="00E51AA8"/>
    <w:rsid w:val="00E55732"/>
    <w:rsid w:val="00E56FA2"/>
    <w:rsid w:val="00E6157B"/>
    <w:rsid w:val="00E85EBA"/>
    <w:rsid w:val="00E931D1"/>
    <w:rsid w:val="00EA26DE"/>
    <w:rsid w:val="00EE5C9C"/>
    <w:rsid w:val="00F05F02"/>
    <w:rsid w:val="00F13DC0"/>
    <w:rsid w:val="00F17C6A"/>
    <w:rsid w:val="00F36632"/>
    <w:rsid w:val="00F374C2"/>
    <w:rsid w:val="00F54C06"/>
    <w:rsid w:val="00F5658D"/>
    <w:rsid w:val="00F72D8C"/>
    <w:rsid w:val="00FA301C"/>
    <w:rsid w:val="00FB6136"/>
    <w:rsid w:val="00FC25B4"/>
    <w:rsid w:val="00FD4252"/>
    <w:rsid w:val="00FF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5D2139F2"/>
  <w15:docId w15:val="{333B8CE9-94CC-4ECB-8906-7102A00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46"/>
    <w:pPr>
      <w:spacing w:after="0" w:line="300" w:lineRule="auto"/>
      <w:jc w:val="both"/>
    </w:pPr>
  </w:style>
  <w:style w:type="paragraph" w:styleId="Heading1">
    <w:name w:val="heading 1"/>
    <w:basedOn w:val="Normal"/>
    <w:next w:val="Normal"/>
    <w:link w:val="Heading1Char"/>
    <w:uiPriority w:val="9"/>
    <w:qFormat/>
    <w:rsid w:val="00C8048C"/>
    <w:pPr>
      <w:spacing w:after="120"/>
      <w:outlineLvl w:val="0"/>
    </w:pPr>
    <w:rPr>
      <w:b/>
      <w:szCs w:val="28"/>
    </w:rPr>
  </w:style>
  <w:style w:type="paragraph" w:styleId="Heading2">
    <w:name w:val="heading 2"/>
    <w:basedOn w:val="Normal"/>
    <w:next w:val="Normal"/>
    <w:link w:val="Heading2Char"/>
    <w:uiPriority w:val="9"/>
    <w:unhideWhenUsed/>
    <w:qFormat/>
    <w:rsid w:val="00C8048C"/>
    <w:pPr>
      <w:spacing w:after="120"/>
      <w:outlineLvl w:val="1"/>
    </w:pPr>
    <w:rPr>
      <w:b/>
      <w:sz w:val="22"/>
      <w:szCs w:val="26"/>
    </w:rPr>
  </w:style>
  <w:style w:type="paragraph" w:styleId="Heading3">
    <w:name w:val="heading 3"/>
    <w:basedOn w:val="Normal"/>
    <w:next w:val="Normal"/>
    <w:link w:val="Heading3Char"/>
    <w:uiPriority w:val="9"/>
    <w:unhideWhenUsed/>
    <w:qFormat/>
    <w:rsid w:val="00BF240D"/>
    <w:pPr>
      <w:keepNext/>
      <w:keepLines/>
      <w:spacing w:after="12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103"/>
    <w:pPr>
      <w:tabs>
        <w:tab w:val="center" w:pos="4513"/>
        <w:tab w:val="right" w:pos="9026"/>
      </w:tabs>
      <w:spacing w:line="240" w:lineRule="auto"/>
    </w:pPr>
  </w:style>
  <w:style w:type="character" w:customStyle="1" w:styleId="HeaderChar">
    <w:name w:val="Header Char"/>
    <w:basedOn w:val="DefaultParagraphFont"/>
    <w:link w:val="Header"/>
    <w:uiPriority w:val="99"/>
    <w:rsid w:val="00446103"/>
  </w:style>
  <w:style w:type="paragraph" w:styleId="Footer">
    <w:name w:val="footer"/>
    <w:basedOn w:val="Normal"/>
    <w:link w:val="FooterChar"/>
    <w:uiPriority w:val="99"/>
    <w:unhideWhenUsed/>
    <w:rsid w:val="00446103"/>
    <w:pPr>
      <w:tabs>
        <w:tab w:val="center" w:pos="4513"/>
        <w:tab w:val="right" w:pos="9026"/>
      </w:tabs>
      <w:spacing w:line="240" w:lineRule="auto"/>
    </w:pPr>
  </w:style>
  <w:style w:type="character" w:customStyle="1" w:styleId="FooterChar">
    <w:name w:val="Footer Char"/>
    <w:basedOn w:val="DefaultParagraphFont"/>
    <w:link w:val="Footer"/>
    <w:uiPriority w:val="99"/>
    <w:rsid w:val="00446103"/>
  </w:style>
  <w:style w:type="paragraph" w:styleId="BalloonText">
    <w:name w:val="Balloon Text"/>
    <w:basedOn w:val="Normal"/>
    <w:link w:val="BalloonTextChar"/>
    <w:uiPriority w:val="99"/>
    <w:semiHidden/>
    <w:unhideWhenUsed/>
    <w:rsid w:val="00446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03"/>
    <w:rPr>
      <w:rFonts w:ascii="Tahoma" w:hAnsi="Tahoma" w:cs="Tahoma"/>
      <w:sz w:val="16"/>
      <w:szCs w:val="16"/>
    </w:rPr>
  </w:style>
  <w:style w:type="table" w:styleId="TableGrid">
    <w:name w:val="Table Grid"/>
    <w:basedOn w:val="TableNormal"/>
    <w:uiPriority w:val="59"/>
    <w:rsid w:val="00BF240D"/>
    <w:pPr>
      <w:spacing w:before="72" w:after="72"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048C"/>
    <w:rPr>
      <w:b/>
      <w:szCs w:val="28"/>
    </w:rPr>
  </w:style>
  <w:style w:type="character" w:customStyle="1" w:styleId="Heading2Char">
    <w:name w:val="Heading 2 Char"/>
    <w:basedOn w:val="DefaultParagraphFont"/>
    <w:link w:val="Heading2"/>
    <w:uiPriority w:val="9"/>
    <w:rsid w:val="00C8048C"/>
    <w:rPr>
      <w:b/>
      <w:sz w:val="22"/>
      <w:szCs w:val="26"/>
    </w:rPr>
  </w:style>
  <w:style w:type="paragraph" w:customStyle="1" w:styleId="Footerstyle">
    <w:name w:val="Footer style"/>
    <w:basedOn w:val="Footer"/>
    <w:link w:val="FooterstyleChar"/>
    <w:qFormat/>
    <w:rsid w:val="00E931D1"/>
    <w:pPr>
      <w:tabs>
        <w:tab w:val="clear" w:pos="4513"/>
        <w:tab w:val="clear" w:pos="9026"/>
        <w:tab w:val="left" w:pos="0"/>
        <w:tab w:val="right" w:pos="9639"/>
      </w:tabs>
    </w:pPr>
    <w:rPr>
      <w:b/>
      <w:sz w:val="28"/>
    </w:rPr>
  </w:style>
  <w:style w:type="character" w:customStyle="1" w:styleId="Heading3Char">
    <w:name w:val="Heading 3 Char"/>
    <w:basedOn w:val="DefaultParagraphFont"/>
    <w:link w:val="Heading3"/>
    <w:uiPriority w:val="9"/>
    <w:rsid w:val="00BF240D"/>
    <w:rPr>
      <w:rFonts w:eastAsiaTheme="majorEastAsia" w:cstheme="majorBidi"/>
      <w:bCs/>
      <w:i/>
    </w:rPr>
  </w:style>
  <w:style w:type="character" w:customStyle="1" w:styleId="FooterstyleChar">
    <w:name w:val="Footer style Char"/>
    <w:basedOn w:val="FooterChar"/>
    <w:link w:val="Footerstyle"/>
    <w:rsid w:val="00E931D1"/>
    <w:rPr>
      <w:b/>
      <w:sz w:val="28"/>
    </w:rPr>
  </w:style>
  <w:style w:type="table" w:customStyle="1" w:styleId="TableSep">
    <w:name w:val="Table Sep"/>
    <w:basedOn w:val="TableNormal"/>
    <w:uiPriority w:val="99"/>
    <w:qFormat/>
    <w:rsid w:val="00857E6A"/>
    <w:pPr>
      <w:spacing w:before="72" w:after="72" w:line="240" w:lineRule="auto"/>
      <w:jc w:val="center"/>
    </w:pPr>
    <w:rPr>
      <w:b/>
    </w:r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paragraph" w:styleId="ListParagraph">
    <w:name w:val="List Paragraph"/>
    <w:basedOn w:val="Normal"/>
    <w:link w:val="ListParagraphChar"/>
    <w:uiPriority w:val="34"/>
    <w:qFormat/>
    <w:rsid w:val="00A01746"/>
    <w:pPr>
      <w:ind w:left="720"/>
      <w:contextualSpacing/>
    </w:pPr>
  </w:style>
  <w:style w:type="paragraph" w:customStyle="1" w:styleId="NonHeading1">
    <w:name w:val="Non Heading1"/>
    <w:basedOn w:val="Normal"/>
    <w:link w:val="NonHeading1Char"/>
    <w:qFormat/>
    <w:rsid w:val="00C27709"/>
    <w:pPr>
      <w:spacing w:after="240"/>
    </w:pPr>
    <w:rPr>
      <w:b/>
      <w:sz w:val="40"/>
      <w:szCs w:val="40"/>
    </w:rPr>
  </w:style>
  <w:style w:type="paragraph" w:styleId="NoSpacing">
    <w:name w:val="No Spacing"/>
    <w:uiPriority w:val="1"/>
    <w:qFormat/>
    <w:rsid w:val="00C27709"/>
    <w:pPr>
      <w:spacing w:after="0" w:line="240" w:lineRule="auto"/>
      <w:jc w:val="both"/>
    </w:pPr>
  </w:style>
  <w:style w:type="character" w:customStyle="1" w:styleId="NonHeading1Char">
    <w:name w:val="Non Heading1 Char"/>
    <w:basedOn w:val="DefaultParagraphFont"/>
    <w:link w:val="NonHeading1"/>
    <w:rsid w:val="00C27709"/>
    <w:rPr>
      <w:b/>
      <w:sz w:val="40"/>
      <w:szCs w:val="40"/>
    </w:rPr>
  </w:style>
  <w:style w:type="paragraph" w:customStyle="1" w:styleId="BulletList">
    <w:name w:val="Bullet List"/>
    <w:basedOn w:val="ListParagraph"/>
    <w:link w:val="BulletListChar"/>
    <w:qFormat/>
    <w:rsid w:val="000D4A30"/>
    <w:pPr>
      <w:numPr>
        <w:numId w:val="3"/>
      </w:numPr>
    </w:pPr>
  </w:style>
  <w:style w:type="character" w:customStyle="1" w:styleId="ListParagraphChar">
    <w:name w:val="List Paragraph Char"/>
    <w:basedOn w:val="DefaultParagraphFont"/>
    <w:link w:val="ListParagraph"/>
    <w:uiPriority w:val="34"/>
    <w:rsid w:val="000D4A30"/>
  </w:style>
  <w:style w:type="character" w:customStyle="1" w:styleId="BulletListChar">
    <w:name w:val="Bullet List Char"/>
    <w:basedOn w:val="ListParagraphChar"/>
    <w:link w:val="BulletList"/>
    <w:rsid w:val="000D4A30"/>
  </w:style>
  <w:style w:type="character" w:styleId="PlaceholderText">
    <w:name w:val="Placeholder Text"/>
    <w:basedOn w:val="DefaultParagraphFont"/>
    <w:uiPriority w:val="99"/>
    <w:semiHidden/>
    <w:rsid w:val="00BC08C3"/>
    <w:rPr>
      <w:color w:val="808080"/>
    </w:rPr>
  </w:style>
  <w:style w:type="paragraph" w:customStyle="1" w:styleId="Subhead">
    <w:name w:val="Subhead"/>
    <w:basedOn w:val="Normal"/>
    <w:rsid w:val="004D4D03"/>
    <w:pPr>
      <w:overflowPunct w:val="0"/>
      <w:autoSpaceDE w:val="0"/>
      <w:autoSpaceDN w:val="0"/>
      <w:adjustRightInd w:val="0"/>
      <w:spacing w:before="144" w:after="72" w:line="240" w:lineRule="auto"/>
      <w:jc w:val="left"/>
      <w:textAlignment w:val="baseline"/>
    </w:pPr>
    <w:rPr>
      <w:rFonts w:eastAsia="Times New Roman" w:cs="Times New Roman"/>
      <w:b/>
      <w:i/>
      <w:szCs w:val="20"/>
      <w:lang w:val="en-US" w:eastAsia="en-GB"/>
    </w:rPr>
  </w:style>
  <w:style w:type="paragraph" w:customStyle="1" w:styleId="DefaultText">
    <w:name w:val="Default Text"/>
    <w:basedOn w:val="Normal"/>
    <w:rsid w:val="004D4D03"/>
    <w:pPr>
      <w:overflowPunct w:val="0"/>
      <w:autoSpaceDE w:val="0"/>
      <w:autoSpaceDN w:val="0"/>
      <w:adjustRightInd w:val="0"/>
      <w:spacing w:before="72" w:after="72" w:line="240" w:lineRule="auto"/>
      <w:jc w:val="left"/>
      <w:textAlignment w:val="baseline"/>
    </w:pPr>
    <w:rPr>
      <w:rFonts w:ascii="Times New Roman" w:eastAsia="Times New Roman" w:hAnsi="Times New Roman" w:cs="Times New Roman"/>
      <w:szCs w:val="20"/>
      <w:lang w:val="en-US" w:eastAsia="en-GB"/>
    </w:rPr>
  </w:style>
  <w:style w:type="paragraph" w:customStyle="1" w:styleId="Spacer">
    <w:name w:val="Spacer"/>
    <w:basedOn w:val="Normal"/>
    <w:rsid w:val="004D4D03"/>
    <w:pPr>
      <w:overflowPunct w:val="0"/>
      <w:autoSpaceDE w:val="0"/>
      <w:autoSpaceDN w:val="0"/>
      <w:adjustRightInd w:val="0"/>
      <w:spacing w:before="72" w:after="72" w:line="240" w:lineRule="auto"/>
      <w:jc w:val="left"/>
      <w:textAlignment w:val="baseline"/>
    </w:pPr>
    <w:rPr>
      <w:rFonts w:ascii="Times New Roman" w:eastAsia="Times New Roman" w:hAnsi="Times New Roman" w:cs="Times New Roman"/>
      <w:sz w:val="10"/>
      <w:szCs w:val="20"/>
      <w:lang w:eastAsia="en-GB"/>
    </w:rPr>
  </w:style>
  <w:style w:type="paragraph" w:customStyle="1" w:styleId="NumberList">
    <w:name w:val="Number List"/>
    <w:basedOn w:val="Normal"/>
    <w:rsid w:val="004D4D03"/>
    <w:pPr>
      <w:overflowPunct w:val="0"/>
      <w:autoSpaceDE w:val="0"/>
      <w:autoSpaceDN w:val="0"/>
      <w:adjustRightInd w:val="0"/>
      <w:spacing w:before="144" w:after="72" w:line="240" w:lineRule="auto"/>
      <w:jc w:val="left"/>
      <w:textAlignment w:val="baseline"/>
    </w:pPr>
    <w:rPr>
      <w:rFonts w:ascii="Times New Roman" w:eastAsia="Times New Roman" w:hAnsi="Times New Roman" w:cs="Times New Roman"/>
      <w:szCs w:val="20"/>
      <w:lang w:eastAsia="en-GB"/>
    </w:rPr>
  </w:style>
  <w:style w:type="paragraph" w:customStyle="1" w:styleId="Bullet1">
    <w:name w:val="Bullet 1"/>
    <w:basedOn w:val="Normal"/>
    <w:rsid w:val="00E55732"/>
    <w:pPr>
      <w:overflowPunct w:val="0"/>
      <w:autoSpaceDE w:val="0"/>
      <w:autoSpaceDN w:val="0"/>
      <w:adjustRightInd w:val="0"/>
      <w:spacing w:before="72" w:after="72" w:line="240" w:lineRule="auto"/>
      <w:jc w:val="left"/>
      <w:textAlignment w:val="baseline"/>
    </w:pPr>
    <w:rPr>
      <w:rFonts w:ascii="Times New Roman" w:eastAsia="Times New Roman" w:hAnsi="Times New Roman" w:cs="Times New Roman"/>
      <w:szCs w:val="20"/>
      <w:lang w:eastAsia="en-GB"/>
    </w:rPr>
  </w:style>
  <w:style w:type="paragraph" w:customStyle="1" w:styleId="BodySingle">
    <w:name w:val="Body Single"/>
    <w:basedOn w:val="Normal"/>
    <w:rsid w:val="00E55732"/>
    <w:pPr>
      <w:overflowPunct w:val="0"/>
      <w:autoSpaceDE w:val="0"/>
      <w:autoSpaceDN w:val="0"/>
      <w:adjustRightInd w:val="0"/>
      <w:spacing w:before="72" w:after="72" w:line="240" w:lineRule="auto"/>
      <w:ind w:left="360"/>
      <w:jc w:val="left"/>
      <w:textAlignment w:val="baseline"/>
    </w:pPr>
    <w:rPr>
      <w:rFonts w:ascii="Times New Roman" w:eastAsia="Times New Roman" w:hAnsi="Times New Roman" w:cs="Times New Roman"/>
      <w:szCs w:val="20"/>
      <w:lang w:eastAsia="en-GB"/>
    </w:rPr>
  </w:style>
  <w:style w:type="character" w:customStyle="1" w:styleId="apple-converted-space">
    <w:name w:val="apple-converted-space"/>
    <w:basedOn w:val="DefaultParagraphFont"/>
    <w:rsid w:val="00095BAF"/>
  </w:style>
  <w:style w:type="paragraph" w:styleId="TOCHeading">
    <w:name w:val="TOC Heading"/>
    <w:basedOn w:val="Heading1"/>
    <w:next w:val="Normal"/>
    <w:uiPriority w:val="39"/>
    <w:unhideWhenUsed/>
    <w:qFormat/>
    <w:rsid w:val="00886941"/>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86941"/>
    <w:pPr>
      <w:spacing w:after="100"/>
    </w:pPr>
  </w:style>
  <w:style w:type="paragraph" w:styleId="TOC2">
    <w:name w:val="toc 2"/>
    <w:basedOn w:val="Normal"/>
    <w:next w:val="Normal"/>
    <w:autoRedefine/>
    <w:uiPriority w:val="39"/>
    <w:unhideWhenUsed/>
    <w:rsid w:val="00886941"/>
    <w:pPr>
      <w:spacing w:after="100"/>
      <w:ind w:left="240"/>
    </w:pPr>
  </w:style>
  <w:style w:type="character" w:styleId="Hyperlink">
    <w:name w:val="Hyperlink"/>
    <w:basedOn w:val="DefaultParagraphFont"/>
    <w:uiPriority w:val="99"/>
    <w:unhideWhenUsed/>
    <w:rsid w:val="00886941"/>
    <w:rPr>
      <w:color w:val="0000FF" w:themeColor="hyperlink"/>
      <w:u w:val="single"/>
    </w:rPr>
  </w:style>
  <w:style w:type="paragraph" w:styleId="NormalWeb">
    <w:name w:val="Normal (Web)"/>
    <w:basedOn w:val="Normal"/>
    <w:uiPriority w:val="99"/>
    <w:unhideWhenUsed/>
    <w:rsid w:val="00886941"/>
    <w:pPr>
      <w:spacing w:before="100" w:beforeAutospacing="1" w:after="100" w:afterAutospacing="1" w:line="240" w:lineRule="auto"/>
      <w:jc w:val="left"/>
    </w:pPr>
    <w:rPr>
      <w:rFonts w:ascii="Times New Roman" w:eastAsiaTheme="minorEastAsia" w:hAnsi="Times New Roman" w:cs="Times New Roman"/>
      <w:lang w:eastAsia="en-GB"/>
    </w:rPr>
  </w:style>
  <w:style w:type="paragraph" w:styleId="PlainText">
    <w:name w:val="Plain Text"/>
    <w:basedOn w:val="Normal"/>
    <w:link w:val="PlainTextChar"/>
    <w:uiPriority w:val="99"/>
    <w:semiHidden/>
    <w:unhideWhenUsed/>
    <w:rsid w:val="008C49CA"/>
    <w:pPr>
      <w:spacing w:line="240" w:lineRule="auto"/>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C49CA"/>
    <w:rPr>
      <w:rFonts w:ascii="Consolas" w:eastAsia="Calibri" w:hAnsi="Consolas" w:cs="Times New Roman"/>
      <w:sz w:val="21"/>
      <w:szCs w:val="21"/>
    </w:rPr>
  </w:style>
  <w:style w:type="character" w:styleId="Strong">
    <w:name w:val="Strong"/>
    <w:basedOn w:val="DefaultParagraphFont"/>
    <w:uiPriority w:val="22"/>
    <w:qFormat/>
    <w:rsid w:val="00B73F12"/>
    <w:rPr>
      <w:b/>
      <w:bCs/>
    </w:rPr>
  </w:style>
  <w:style w:type="character" w:styleId="UnresolvedMention">
    <w:name w:val="Unresolved Mention"/>
    <w:basedOn w:val="DefaultParagraphFont"/>
    <w:uiPriority w:val="99"/>
    <w:semiHidden/>
    <w:unhideWhenUsed/>
    <w:rsid w:val="00AB16AA"/>
    <w:rPr>
      <w:color w:val="605E5C"/>
      <w:shd w:val="clear" w:color="auto" w:fill="E1DFDD"/>
    </w:rPr>
  </w:style>
  <w:style w:type="character" w:styleId="FollowedHyperlink">
    <w:name w:val="FollowedHyperlink"/>
    <w:basedOn w:val="DefaultParagraphFont"/>
    <w:uiPriority w:val="99"/>
    <w:semiHidden/>
    <w:unhideWhenUsed/>
    <w:rsid w:val="007C4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118">
      <w:bodyDiv w:val="1"/>
      <w:marLeft w:val="0"/>
      <w:marRight w:val="0"/>
      <w:marTop w:val="0"/>
      <w:marBottom w:val="0"/>
      <w:divBdr>
        <w:top w:val="none" w:sz="0" w:space="0" w:color="auto"/>
        <w:left w:val="none" w:sz="0" w:space="0" w:color="auto"/>
        <w:bottom w:val="none" w:sz="0" w:space="0" w:color="auto"/>
        <w:right w:val="none" w:sz="0" w:space="0" w:color="auto"/>
      </w:divBdr>
    </w:div>
    <w:div w:id="1106121229">
      <w:bodyDiv w:val="1"/>
      <w:marLeft w:val="0"/>
      <w:marRight w:val="0"/>
      <w:marTop w:val="0"/>
      <w:marBottom w:val="0"/>
      <w:divBdr>
        <w:top w:val="none" w:sz="0" w:space="0" w:color="auto"/>
        <w:left w:val="none" w:sz="0" w:space="0" w:color="auto"/>
        <w:bottom w:val="none" w:sz="0" w:space="0" w:color="auto"/>
        <w:right w:val="none" w:sz="0" w:space="0" w:color="auto"/>
      </w:divBdr>
    </w:div>
    <w:div w:id="1811483614">
      <w:bodyDiv w:val="1"/>
      <w:marLeft w:val="0"/>
      <w:marRight w:val="0"/>
      <w:marTop w:val="0"/>
      <w:marBottom w:val="0"/>
      <w:divBdr>
        <w:top w:val="none" w:sz="0" w:space="0" w:color="auto"/>
        <w:left w:val="none" w:sz="0" w:space="0" w:color="auto"/>
        <w:bottom w:val="none" w:sz="0" w:space="0" w:color="auto"/>
        <w:right w:val="none" w:sz="0" w:space="0" w:color="auto"/>
      </w:divBdr>
      <w:divsChild>
        <w:div w:id="111975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social-care-standards-support-life/" TargetMode="External"/><Relationship Id="rId13" Type="http://schemas.openxmlformats.org/officeDocument/2006/relationships/hyperlink" Target="https://www.gov.scot/publications/coronavirus-covid-19-social-care-testing-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scot/publications/open-with-care-supporting-meaningful-contact-in-adult-care-homes-principles/" TargetMode="External"/><Relationship Id="rId7" Type="http://schemas.openxmlformats.org/officeDocument/2006/relationships/endnotes" Target="endnotes.xml"/><Relationship Id="rId12" Type="http://schemas.openxmlformats.org/officeDocument/2006/relationships/hyperlink" Target="https://www.gov.scot/publications/coronavirus-covid-19-use-of-face-coverings-in-social-care-settings-including-adult-care-homes/pages/mask-wearing-guidanc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v.scot/publications/coronavirus-covid-19-scotlands-strategic-framework-update-february-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scotland.scot/publications/covid-19-information-and-guidance-for-social-community-and-residential-care-settings/covid-19-information-and-guidance-for-social-community-and-residential-care-settings-version-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nipcm.hps.scot.nhs.uk/web-resources-container/appendix-22-community-ipc-covid-19/" TargetMode="External"/><Relationship Id="rId10" Type="http://schemas.openxmlformats.org/officeDocument/2006/relationships/hyperlink" Target="https://www.gov.scot/publications/open-care-adult-care-home-visiting-easy-read/" TargetMode="External"/><Relationship Id="rId19" Type="http://schemas.openxmlformats.org/officeDocument/2006/relationships/hyperlink" Target="https://www.publichealthscotland.scot/publications/covid-19-information-and-guidance-for-social-community-and-residential-care-settings/covid-19-information-and-guidance-for-social-community-and-residential-care-settings-version-23/" TargetMode="External"/><Relationship Id="rId4" Type="http://schemas.openxmlformats.org/officeDocument/2006/relationships/settings" Target="settings.xml"/><Relationship Id="rId9" Type="http://schemas.openxmlformats.org/officeDocument/2006/relationships/hyperlink" Target="https://www.gov.scot/publications/open-care-adult-care-home-visiting-leaflet/" TargetMode="External"/><Relationship Id="rId14" Type="http://schemas.openxmlformats.org/officeDocument/2006/relationships/hyperlink" Target="https://www.gov.scot/publications/coronavirus-covid-19-getting-tested/pages/changes-from-1-may-2022/" TargetMode="External"/><Relationship Id="rId22" Type="http://schemas.openxmlformats.org/officeDocument/2006/relationships/hyperlink" Target="https://www.nhsinform.scot/campaigns/covid-se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0B85-BE1B-487F-B2E3-752722A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&lt;Administrator&gt;</dc:creator>
  <cp:lastModifiedBy>Susan Barclay</cp:lastModifiedBy>
  <cp:revision>2</cp:revision>
  <dcterms:created xsi:type="dcterms:W3CDTF">2022-09-22T13:24:00Z</dcterms:created>
  <dcterms:modified xsi:type="dcterms:W3CDTF">2022-09-22T13:24:00Z</dcterms:modified>
</cp:coreProperties>
</file>